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254" w:rsidRPr="00316E63" w:rsidRDefault="00524500">
      <w:pPr>
        <w:pStyle w:val="a6"/>
        <w:spacing w:before="0" w:beforeAutospacing="0" w:after="0" w:afterAutospacing="0" w:line="585" w:lineRule="atLeast"/>
        <w:ind w:firstLine="645"/>
        <w:jc w:val="center"/>
        <w:rPr>
          <w:rFonts w:ascii="仿宋" w:eastAsia="仿宋" w:hAnsi="仿宋"/>
          <w:color w:val="2B2B2B"/>
          <w:sz w:val="44"/>
          <w:szCs w:val="44"/>
        </w:rPr>
      </w:pPr>
      <w:r w:rsidRPr="00316E63">
        <w:rPr>
          <w:rFonts w:ascii="仿宋" w:eastAsia="仿宋" w:hAnsi="仿宋" w:hint="eastAsia"/>
          <w:bCs/>
          <w:color w:val="333333"/>
          <w:sz w:val="44"/>
          <w:szCs w:val="44"/>
        </w:rPr>
        <w:t>2019年白银市住房公积金年度报告解读</w:t>
      </w:r>
    </w:p>
    <w:p w:rsidR="00F83254" w:rsidRPr="00316E63" w:rsidRDefault="00F83254">
      <w:pPr>
        <w:pStyle w:val="a6"/>
        <w:spacing w:before="0" w:beforeAutospacing="0" w:after="0" w:afterAutospacing="0" w:line="585" w:lineRule="atLeast"/>
        <w:ind w:firstLine="645"/>
        <w:jc w:val="center"/>
        <w:rPr>
          <w:rFonts w:ascii="仿宋" w:eastAsia="仿宋" w:hAnsi="仿宋"/>
          <w:color w:val="2B2B2B"/>
          <w:sz w:val="28"/>
          <w:szCs w:val="28"/>
        </w:rPr>
      </w:pPr>
    </w:p>
    <w:p w:rsidR="00316E63" w:rsidRPr="005234FF" w:rsidRDefault="00316E63" w:rsidP="005234FF">
      <w:pPr>
        <w:spacing w:line="560" w:lineRule="atLeast"/>
        <w:ind w:firstLineChars="200" w:firstLine="562"/>
        <w:rPr>
          <w:rFonts w:ascii="仿宋" w:eastAsia="仿宋" w:hAnsi="仿宋"/>
          <w:b/>
          <w:sz w:val="28"/>
          <w:szCs w:val="28"/>
        </w:rPr>
      </w:pPr>
      <w:r w:rsidRPr="005234FF">
        <w:rPr>
          <w:rFonts w:ascii="仿宋" w:eastAsia="仿宋" w:hAnsi="仿宋" w:hint="eastAsia"/>
          <w:b/>
          <w:sz w:val="28"/>
          <w:szCs w:val="28"/>
        </w:rPr>
        <w:t>一、年报编制依据及总体概况</w:t>
      </w:r>
    </w:p>
    <w:p w:rsidR="00316E63" w:rsidRPr="00EC57AB" w:rsidRDefault="00316E63" w:rsidP="00EC57AB">
      <w:pPr>
        <w:spacing w:line="560" w:lineRule="atLeast"/>
        <w:ind w:firstLineChars="200" w:firstLine="560"/>
        <w:rPr>
          <w:rFonts w:ascii="仿宋" w:eastAsia="仿宋" w:hAnsi="仿宋"/>
          <w:sz w:val="28"/>
          <w:szCs w:val="28"/>
        </w:rPr>
      </w:pPr>
      <w:r w:rsidRPr="00EC57AB">
        <w:rPr>
          <w:rFonts w:ascii="仿宋" w:eastAsia="仿宋" w:hAnsi="仿宋" w:hint="eastAsia"/>
          <w:sz w:val="28"/>
          <w:szCs w:val="28"/>
        </w:rPr>
        <w:t>根据住建部、财政部、人民银行</w:t>
      </w:r>
      <w:r w:rsidR="005234FF">
        <w:rPr>
          <w:rFonts w:ascii="仿宋" w:eastAsia="仿宋" w:hAnsi="仿宋" w:hint="eastAsia"/>
          <w:sz w:val="28"/>
          <w:szCs w:val="28"/>
        </w:rPr>
        <w:t>及住建</w:t>
      </w:r>
      <w:r w:rsidR="00EC57AB" w:rsidRPr="00EC57AB">
        <w:rPr>
          <w:rFonts w:ascii="仿宋" w:eastAsia="仿宋" w:hAnsi="仿宋" w:hint="eastAsia"/>
          <w:sz w:val="28"/>
          <w:szCs w:val="28"/>
        </w:rPr>
        <w:t>部</w:t>
      </w:r>
      <w:r w:rsidRPr="00EC57AB">
        <w:rPr>
          <w:rFonts w:ascii="仿宋" w:eastAsia="仿宋" w:hAnsi="仿宋" w:hint="eastAsia"/>
          <w:sz w:val="28"/>
          <w:szCs w:val="28"/>
        </w:rPr>
        <w:t>公积金</w:t>
      </w:r>
      <w:r w:rsidR="00EC57AB" w:rsidRPr="00EC57AB">
        <w:rPr>
          <w:rFonts w:ascii="仿宋" w:eastAsia="仿宋" w:hAnsi="仿宋" w:hint="eastAsia"/>
          <w:sz w:val="28"/>
          <w:szCs w:val="28"/>
        </w:rPr>
        <w:t>监管</w:t>
      </w:r>
      <w:r w:rsidRPr="00EC57AB">
        <w:rPr>
          <w:rFonts w:ascii="仿宋" w:eastAsia="仿宋" w:hAnsi="仿宋" w:hint="eastAsia"/>
          <w:sz w:val="28"/>
          <w:szCs w:val="28"/>
        </w:rPr>
        <w:t>司</w:t>
      </w:r>
      <w:r w:rsidR="005234FF">
        <w:rPr>
          <w:rFonts w:ascii="仿宋" w:eastAsia="仿宋" w:hAnsi="仿宋" w:hint="eastAsia"/>
          <w:sz w:val="28"/>
          <w:szCs w:val="28"/>
        </w:rPr>
        <w:t>的有关</w:t>
      </w:r>
      <w:r w:rsidRPr="00EC57AB">
        <w:rPr>
          <w:rFonts w:ascii="仿宋" w:eastAsia="仿宋" w:hAnsi="仿宋" w:hint="eastAsia"/>
          <w:sz w:val="28"/>
          <w:szCs w:val="28"/>
        </w:rPr>
        <w:t>要求，按照规定的模板格式编制年报，将单独管理的靖远煤业分中心纳入我市统一披露，完整全面披露2019年度我市住房公积金各项业务运行情况、财务状况、资产情况和政策调整信息</w:t>
      </w:r>
      <w:r w:rsidR="005234FF">
        <w:rPr>
          <w:rFonts w:ascii="仿宋" w:eastAsia="仿宋" w:hAnsi="仿宋" w:hint="eastAsia"/>
          <w:sz w:val="28"/>
          <w:szCs w:val="28"/>
        </w:rPr>
        <w:t>。</w:t>
      </w:r>
      <w:r w:rsidR="000A111D">
        <w:rPr>
          <w:rFonts w:ascii="仿宋" w:eastAsia="仿宋" w:hAnsi="仿宋" w:hint="eastAsia"/>
          <w:sz w:val="28"/>
          <w:szCs w:val="28"/>
        </w:rPr>
        <w:t>用</w:t>
      </w:r>
      <w:r w:rsidRPr="00EC57AB">
        <w:rPr>
          <w:rFonts w:ascii="仿宋" w:eastAsia="仿宋" w:hAnsi="仿宋" w:hint="eastAsia"/>
          <w:sz w:val="28"/>
          <w:szCs w:val="28"/>
        </w:rPr>
        <w:t>数据说话，充分反映公积金中心认真贯彻落实国家、省市和住房公积金管委会各项决策部署，切实保障缴存职工权益和资金使用需求，积极支持中低收入家庭住房消费以及促进房地产市场平稳健康发展所</w:t>
      </w:r>
      <w:proofErr w:type="gramStart"/>
      <w:r w:rsidRPr="00EC57AB">
        <w:rPr>
          <w:rFonts w:ascii="仿宋" w:eastAsia="仿宋" w:hAnsi="仿宋" w:hint="eastAsia"/>
          <w:sz w:val="28"/>
          <w:szCs w:val="28"/>
        </w:rPr>
        <w:t>作出</w:t>
      </w:r>
      <w:proofErr w:type="gramEnd"/>
      <w:r w:rsidRPr="00EC57AB">
        <w:rPr>
          <w:rFonts w:ascii="仿宋" w:eastAsia="仿宋" w:hAnsi="仿宋" w:hint="eastAsia"/>
          <w:sz w:val="28"/>
          <w:szCs w:val="28"/>
        </w:rPr>
        <w:t>的努力。</w:t>
      </w:r>
    </w:p>
    <w:p w:rsidR="00F83254" w:rsidRPr="00394BBD" w:rsidRDefault="005234FF">
      <w:pPr>
        <w:pStyle w:val="a6"/>
        <w:spacing w:before="0" w:beforeAutospacing="0" w:after="0" w:afterAutospacing="0" w:line="585" w:lineRule="atLeast"/>
        <w:ind w:firstLine="645"/>
        <w:rPr>
          <w:rFonts w:ascii="仿宋" w:eastAsia="仿宋" w:hAnsi="仿宋"/>
          <w:b/>
          <w:color w:val="2B2B2B"/>
          <w:sz w:val="28"/>
          <w:szCs w:val="28"/>
        </w:rPr>
      </w:pPr>
      <w:r>
        <w:rPr>
          <w:rFonts w:ascii="仿宋" w:eastAsia="仿宋" w:hAnsi="仿宋" w:hint="eastAsia"/>
          <w:b/>
          <w:color w:val="2B2B2B"/>
          <w:sz w:val="28"/>
          <w:szCs w:val="28"/>
        </w:rPr>
        <w:t>二</w:t>
      </w:r>
      <w:r w:rsidR="00524500" w:rsidRPr="00394BBD">
        <w:rPr>
          <w:rFonts w:ascii="仿宋" w:eastAsia="仿宋" w:hAnsi="仿宋" w:hint="eastAsia"/>
          <w:b/>
          <w:color w:val="2B2B2B"/>
          <w:sz w:val="28"/>
          <w:szCs w:val="28"/>
        </w:rPr>
        <w:t>、缴存篇</w:t>
      </w:r>
    </w:p>
    <w:p w:rsidR="00021973" w:rsidRDefault="00524500">
      <w:pPr>
        <w:pStyle w:val="a6"/>
        <w:spacing w:before="0" w:beforeAutospacing="0" w:after="0" w:afterAutospacing="0" w:line="585" w:lineRule="atLeast"/>
        <w:ind w:firstLine="480"/>
        <w:rPr>
          <w:rFonts w:ascii="仿宋" w:eastAsia="仿宋" w:hAnsi="仿宋"/>
          <w:color w:val="2B2B2B"/>
          <w:sz w:val="28"/>
          <w:szCs w:val="28"/>
        </w:rPr>
      </w:pPr>
      <w:r w:rsidRPr="00316E63">
        <w:rPr>
          <w:rFonts w:ascii="仿宋" w:eastAsia="仿宋" w:hAnsi="仿宋" w:hint="eastAsia"/>
          <w:color w:val="2B2B2B"/>
          <w:sz w:val="28"/>
          <w:szCs w:val="28"/>
        </w:rPr>
        <w:t>（一）实缴单位数、缴存金额</w:t>
      </w:r>
      <w:r w:rsidR="000A111D">
        <w:rPr>
          <w:rFonts w:ascii="仿宋" w:eastAsia="仿宋" w:hAnsi="仿宋" w:hint="eastAsia"/>
          <w:color w:val="2B2B2B"/>
          <w:sz w:val="28"/>
          <w:szCs w:val="28"/>
        </w:rPr>
        <w:t>持</w:t>
      </w:r>
      <w:r w:rsidRPr="00316E63">
        <w:rPr>
          <w:rFonts w:ascii="仿宋" w:eastAsia="仿宋" w:hAnsi="仿宋" w:hint="eastAsia"/>
          <w:color w:val="2B2B2B"/>
          <w:sz w:val="28"/>
          <w:szCs w:val="28"/>
        </w:rPr>
        <w:t>续稳步增长。</w:t>
      </w:r>
    </w:p>
    <w:p w:rsidR="00F83254" w:rsidRPr="00316E63" w:rsidRDefault="004418C2" w:rsidP="004418C2">
      <w:pPr>
        <w:spacing w:line="560" w:lineRule="atLeast"/>
        <w:ind w:firstLineChars="200" w:firstLine="560"/>
        <w:rPr>
          <w:rFonts w:ascii="仿宋" w:eastAsia="仿宋" w:hAnsi="仿宋"/>
          <w:color w:val="2B2B2B"/>
          <w:sz w:val="28"/>
          <w:szCs w:val="28"/>
        </w:rPr>
      </w:pPr>
      <w:r w:rsidRPr="004418C2">
        <w:rPr>
          <w:rFonts w:ascii="仿宋" w:eastAsia="仿宋" w:hint="eastAsia"/>
          <w:sz w:val="28"/>
          <w:szCs w:val="28"/>
        </w:rPr>
        <w:t>职工住房公积金年缴存额</w:t>
      </w:r>
      <w:proofErr w:type="gramStart"/>
      <w:r w:rsidRPr="004418C2">
        <w:rPr>
          <w:rFonts w:ascii="仿宋" w:eastAsia="仿宋" w:hint="eastAsia"/>
          <w:sz w:val="28"/>
          <w:szCs w:val="28"/>
        </w:rPr>
        <w:t>随着扩面和</w:t>
      </w:r>
      <w:proofErr w:type="gramEnd"/>
      <w:r w:rsidRPr="004418C2">
        <w:rPr>
          <w:rFonts w:ascii="仿宋" w:eastAsia="仿宋" w:hint="eastAsia"/>
          <w:sz w:val="28"/>
          <w:szCs w:val="28"/>
        </w:rPr>
        <w:t>收入提升逐年递增。</w:t>
      </w:r>
      <w:r>
        <w:rPr>
          <w:rFonts w:ascii="仿宋" w:eastAsia="仿宋" w:hAnsi="仿宋" w:hint="eastAsia"/>
          <w:color w:val="2B2B2B"/>
          <w:sz w:val="28"/>
          <w:szCs w:val="28"/>
        </w:rPr>
        <w:t>近五年来，实际</w:t>
      </w:r>
      <w:proofErr w:type="gramStart"/>
      <w:r>
        <w:rPr>
          <w:rFonts w:ascii="仿宋" w:eastAsia="仿宋" w:hAnsi="仿宋" w:hint="eastAsia"/>
          <w:color w:val="2B2B2B"/>
          <w:sz w:val="28"/>
          <w:szCs w:val="28"/>
        </w:rPr>
        <w:t>缴</w:t>
      </w:r>
      <w:proofErr w:type="gramEnd"/>
      <w:r>
        <w:rPr>
          <w:rFonts w:ascii="仿宋" w:eastAsia="仿宋" w:hAnsi="仿宋" w:hint="eastAsia"/>
          <w:color w:val="2B2B2B"/>
          <w:sz w:val="28"/>
          <w:szCs w:val="28"/>
        </w:rPr>
        <w:t>存单位由</w:t>
      </w:r>
      <w:r w:rsidR="00021973">
        <w:rPr>
          <w:rFonts w:ascii="仿宋" w:eastAsia="仿宋" w:hAnsi="仿宋" w:hint="eastAsia"/>
          <w:color w:val="2B2B2B"/>
          <w:sz w:val="28"/>
          <w:szCs w:val="28"/>
        </w:rPr>
        <w:t>1164家增加至1339家</w:t>
      </w:r>
      <w:r>
        <w:rPr>
          <w:rFonts w:ascii="仿宋" w:eastAsia="仿宋" w:hAnsi="仿宋" w:hint="eastAsia"/>
          <w:color w:val="2B2B2B"/>
          <w:sz w:val="28"/>
          <w:szCs w:val="28"/>
        </w:rPr>
        <w:t>，年均增长3%；缴存金额由8.23亿元增加到12.84亿元，年均增长9.3%。</w:t>
      </w:r>
    </w:p>
    <w:p w:rsidR="00F83254" w:rsidRPr="00316E63" w:rsidRDefault="00524500">
      <w:pPr>
        <w:pStyle w:val="a6"/>
        <w:spacing w:before="0" w:beforeAutospacing="0" w:after="0" w:afterAutospacing="0" w:line="585" w:lineRule="atLeast"/>
        <w:ind w:firstLine="480"/>
        <w:rPr>
          <w:rFonts w:ascii="仿宋" w:eastAsia="仿宋" w:hAnsi="仿宋"/>
          <w:color w:val="2B2B2B"/>
          <w:sz w:val="28"/>
          <w:szCs w:val="28"/>
        </w:rPr>
      </w:pPr>
      <w:r w:rsidRPr="00316E63">
        <w:rPr>
          <w:rFonts w:ascii="仿宋" w:eastAsia="仿宋" w:hAnsi="仿宋"/>
          <w:noProof/>
          <w:sz w:val="28"/>
          <w:szCs w:val="28"/>
        </w:rPr>
        <w:drawing>
          <wp:inline distT="0" distB="0" distL="114300" distR="114300">
            <wp:extent cx="4891405" cy="2357120"/>
            <wp:effectExtent l="19050" t="0" r="23495" b="5080"/>
            <wp:docPr id="1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83254" w:rsidRPr="00316E63" w:rsidRDefault="00524500">
      <w:pPr>
        <w:pStyle w:val="a6"/>
        <w:spacing w:before="0" w:beforeAutospacing="0" w:after="0" w:afterAutospacing="0" w:line="585" w:lineRule="atLeast"/>
        <w:ind w:firstLine="480"/>
        <w:rPr>
          <w:rFonts w:ascii="仿宋" w:eastAsia="仿宋" w:hAnsi="仿宋"/>
          <w:color w:val="2B2B2B"/>
          <w:sz w:val="28"/>
          <w:szCs w:val="28"/>
        </w:rPr>
      </w:pPr>
      <w:r w:rsidRPr="00316E63">
        <w:rPr>
          <w:rFonts w:ascii="仿宋" w:eastAsia="仿宋" w:hAnsi="仿宋" w:hint="eastAsia"/>
          <w:color w:val="2B2B2B"/>
          <w:sz w:val="28"/>
          <w:szCs w:val="28"/>
        </w:rPr>
        <w:lastRenderedPageBreak/>
        <w:t>（二）中低收入职工群体为缴存主力</w:t>
      </w:r>
      <w:r w:rsidR="005234FF">
        <w:rPr>
          <w:rFonts w:ascii="仿宋" w:eastAsia="仿宋" w:hAnsi="仿宋" w:hint="eastAsia"/>
          <w:color w:val="2B2B2B"/>
          <w:sz w:val="28"/>
          <w:szCs w:val="28"/>
        </w:rPr>
        <w:t>，</w:t>
      </w:r>
      <w:r w:rsidR="005234FF" w:rsidRPr="00316E63">
        <w:rPr>
          <w:rFonts w:ascii="仿宋" w:eastAsia="仿宋" w:hAnsi="仿宋" w:hint="eastAsia"/>
          <w:color w:val="2B2B2B"/>
          <w:sz w:val="28"/>
          <w:szCs w:val="28"/>
        </w:rPr>
        <w:t>非公企业职工占</w:t>
      </w:r>
      <w:proofErr w:type="gramStart"/>
      <w:r w:rsidR="005234FF" w:rsidRPr="00316E63">
        <w:rPr>
          <w:rFonts w:ascii="仿宋" w:eastAsia="仿宋" w:hAnsi="仿宋" w:hint="eastAsia"/>
          <w:color w:val="2B2B2B"/>
          <w:sz w:val="28"/>
          <w:szCs w:val="28"/>
        </w:rPr>
        <w:t>比逐步</w:t>
      </w:r>
      <w:proofErr w:type="gramEnd"/>
      <w:r w:rsidR="005234FF" w:rsidRPr="00316E63">
        <w:rPr>
          <w:rFonts w:ascii="仿宋" w:eastAsia="仿宋" w:hAnsi="仿宋" w:hint="eastAsia"/>
          <w:color w:val="2B2B2B"/>
          <w:sz w:val="28"/>
          <w:szCs w:val="28"/>
        </w:rPr>
        <w:t>提高</w:t>
      </w:r>
      <w:r w:rsidRPr="00316E63">
        <w:rPr>
          <w:rFonts w:ascii="仿宋" w:eastAsia="仿宋" w:hAnsi="仿宋" w:hint="eastAsia"/>
          <w:color w:val="2B2B2B"/>
          <w:sz w:val="28"/>
          <w:szCs w:val="28"/>
        </w:rPr>
        <w:t>。</w:t>
      </w:r>
      <w:r w:rsidR="00C64BD7" w:rsidRPr="00316E63">
        <w:rPr>
          <w:rFonts w:ascii="仿宋" w:eastAsia="仿宋" w:hAnsi="仿宋" w:hint="eastAsia"/>
          <w:color w:val="2B2B2B"/>
          <w:sz w:val="28"/>
          <w:szCs w:val="28"/>
        </w:rPr>
        <w:t>2019年实缴职工11.89万人，缴存职工中</w:t>
      </w:r>
      <w:proofErr w:type="gramStart"/>
      <w:r w:rsidR="00C64BD7" w:rsidRPr="00316E63">
        <w:rPr>
          <w:rFonts w:ascii="仿宋" w:eastAsia="仿宋" w:hAnsi="仿宋" w:hint="eastAsia"/>
          <w:color w:val="2B2B2B"/>
          <w:sz w:val="28"/>
          <w:szCs w:val="28"/>
        </w:rPr>
        <w:t>中</w:t>
      </w:r>
      <w:proofErr w:type="gramEnd"/>
      <w:r w:rsidR="00C64BD7" w:rsidRPr="00316E63">
        <w:rPr>
          <w:rFonts w:ascii="仿宋" w:eastAsia="仿宋" w:hAnsi="仿宋" w:hint="eastAsia"/>
          <w:color w:val="2B2B2B"/>
          <w:sz w:val="28"/>
          <w:szCs w:val="28"/>
        </w:rPr>
        <w:t>低收入占比99%。</w:t>
      </w:r>
      <w:r w:rsidR="005234FF" w:rsidRPr="00316E63">
        <w:rPr>
          <w:rFonts w:ascii="仿宋" w:eastAsia="仿宋" w:hAnsi="仿宋" w:hint="eastAsia"/>
          <w:color w:val="2B2B2B"/>
          <w:sz w:val="28"/>
          <w:szCs w:val="28"/>
        </w:rPr>
        <w:t>越来越多的民营企业</w:t>
      </w:r>
      <w:r w:rsidR="005234FF">
        <w:rPr>
          <w:rFonts w:ascii="仿宋" w:eastAsia="仿宋" w:hAnsi="仿宋" w:hint="eastAsia"/>
          <w:color w:val="2B2B2B"/>
          <w:sz w:val="28"/>
          <w:szCs w:val="28"/>
        </w:rPr>
        <w:t>为留住人才，增加企业的竞争力</w:t>
      </w:r>
      <w:r w:rsidR="005234FF" w:rsidRPr="00316E63">
        <w:rPr>
          <w:rFonts w:ascii="仿宋" w:eastAsia="仿宋" w:hAnsi="仿宋" w:hint="eastAsia"/>
          <w:color w:val="2B2B2B"/>
          <w:sz w:val="28"/>
          <w:szCs w:val="28"/>
        </w:rPr>
        <w:t>为职工缴存住房公积金</w:t>
      </w:r>
      <w:r w:rsidR="005234FF">
        <w:rPr>
          <w:rFonts w:ascii="仿宋" w:eastAsia="仿宋" w:hAnsi="仿宋" w:hint="eastAsia"/>
          <w:color w:val="2B2B2B"/>
          <w:sz w:val="28"/>
          <w:szCs w:val="28"/>
        </w:rPr>
        <w:t>。2019年</w:t>
      </w:r>
      <w:r w:rsidR="005234FF" w:rsidRPr="00337B2B">
        <w:rPr>
          <w:rFonts w:ascii="仿宋" w:eastAsia="仿宋" w:hAnsi="仿宋" w:cs="仿宋" w:hint="eastAsia"/>
          <w:sz w:val="28"/>
          <w:szCs w:val="28"/>
        </w:rPr>
        <w:t>新开户职工中，</w:t>
      </w:r>
      <w:r w:rsidR="005234FF" w:rsidRPr="00316E63">
        <w:rPr>
          <w:rFonts w:ascii="仿宋" w:eastAsia="仿宋" w:hAnsi="仿宋" w:hint="eastAsia"/>
          <w:color w:val="2B2B2B"/>
          <w:sz w:val="28"/>
          <w:szCs w:val="28"/>
        </w:rPr>
        <w:t>非</w:t>
      </w:r>
      <w:r w:rsidR="005234FF">
        <w:rPr>
          <w:rFonts w:ascii="仿宋" w:eastAsia="仿宋" w:hAnsi="仿宋" w:hint="eastAsia"/>
          <w:color w:val="2B2B2B"/>
          <w:sz w:val="28"/>
          <w:szCs w:val="28"/>
        </w:rPr>
        <w:t>公有</w:t>
      </w:r>
      <w:r w:rsidR="005234FF" w:rsidRPr="00316E63">
        <w:rPr>
          <w:rFonts w:ascii="仿宋" w:eastAsia="仿宋" w:hAnsi="仿宋" w:hint="eastAsia"/>
          <w:color w:val="2B2B2B"/>
          <w:sz w:val="28"/>
          <w:szCs w:val="28"/>
        </w:rPr>
        <w:t>企业</w:t>
      </w:r>
      <w:r w:rsidR="000A111D">
        <w:rPr>
          <w:rFonts w:ascii="仿宋" w:eastAsia="仿宋" w:hAnsi="仿宋" w:hint="eastAsia"/>
          <w:color w:val="2B2B2B"/>
          <w:sz w:val="28"/>
          <w:szCs w:val="28"/>
        </w:rPr>
        <w:t>制</w:t>
      </w:r>
      <w:r w:rsidR="005234FF" w:rsidRPr="00316E63">
        <w:rPr>
          <w:rFonts w:ascii="仿宋" w:eastAsia="仿宋" w:hAnsi="仿宋" w:hint="eastAsia"/>
          <w:color w:val="2B2B2B"/>
          <w:sz w:val="28"/>
          <w:szCs w:val="28"/>
        </w:rPr>
        <w:t>缴存职工</w:t>
      </w:r>
      <w:r w:rsidR="005234FF" w:rsidRPr="00337B2B">
        <w:rPr>
          <w:rFonts w:ascii="仿宋" w:eastAsia="仿宋" w:hAnsi="仿宋" w:cs="仿宋" w:hint="eastAsia"/>
          <w:sz w:val="28"/>
          <w:szCs w:val="28"/>
        </w:rPr>
        <w:t>占</w:t>
      </w:r>
      <w:r w:rsidR="005234FF">
        <w:rPr>
          <w:rFonts w:ascii="仿宋" w:eastAsia="仿宋" w:hAnsi="仿宋" w:cs="仿宋" w:hint="eastAsia"/>
          <w:sz w:val="28"/>
          <w:szCs w:val="28"/>
        </w:rPr>
        <w:t>30</w:t>
      </w:r>
      <w:r w:rsidR="005234FF" w:rsidRPr="00337B2B">
        <w:rPr>
          <w:rFonts w:ascii="仿宋" w:eastAsia="仿宋" w:hAnsi="仿宋" w:cs="仿宋" w:hint="eastAsia"/>
          <w:sz w:val="28"/>
          <w:szCs w:val="28"/>
        </w:rPr>
        <w:t>%</w:t>
      </w:r>
      <w:r w:rsidR="005234FF">
        <w:rPr>
          <w:rFonts w:ascii="仿宋" w:eastAsia="仿宋" w:hAnsi="仿宋" w:cs="仿宋" w:hint="eastAsia"/>
          <w:sz w:val="28"/>
          <w:szCs w:val="28"/>
        </w:rPr>
        <w:t>。全部缴存职工中</w:t>
      </w:r>
      <w:r w:rsidR="005234FF" w:rsidRPr="00316E63">
        <w:rPr>
          <w:rFonts w:ascii="仿宋" w:eastAsia="仿宋" w:hAnsi="仿宋" w:hint="eastAsia"/>
          <w:color w:val="2B2B2B"/>
          <w:sz w:val="28"/>
          <w:szCs w:val="28"/>
        </w:rPr>
        <w:t>非</w:t>
      </w:r>
      <w:r w:rsidR="005234FF">
        <w:rPr>
          <w:rFonts w:ascii="仿宋" w:eastAsia="仿宋" w:hAnsi="仿宋" w:hint="eastAsia"/>
          <w:color w:val="2B2B2B"/>
          <w:sz w:val="28"/>
          <w:szCs w:val="28"/>
        </w:rPr>
        <w:t>公有</w:t>
      </w:r>
      <w:r w:rsidR="005234FF" w:rsidRPr="00316E63">
        <w:rPr>
          <w:rFonts w:ascii="仿宋" w:eastAsia="仿宋" w:hAnsi="仿宋" w:hint="eastAsia"/>
          <w:color w:val="2B2B2B"/>
          <w:sz w:val="28"/>
          <w:szCs w:val="28"/>
        </w:rPr>
        <w:t>企业</w:t>
      </w:r>
      <w:r w:rsidR="000A111D">
        <w:rPr>
          <w:rFonts w:ascii="仿宋" w:eastAsia="仿宋" w:hAnsi="仿宋" w:hint="eastAsia"/>
          <w:color w:val="2B2B2B"/>
          <w:sz w:val="28"/>
          <w:szCs w:val="28"/>
        </w:rPr>
        <w:t>制</w:t>
      </w:r>
      <w:r w:rsidR="005234FF" w:rsidRPr="00316E63">
        <w:rPr>
          <w:rFonts w:ascii="仿宋" w:eastAsia="仿宋" w:hAnsi="仿宋" w:hint="eastAsia"/>
          <w:color w:val="2B2B2B"/>
          <w:sz w:val="28"/>
          <w:szCs w:val="28"/>
        </w:rPr>
        <w:t>缴存职工</w:t>
      </w:r>
      <w:r w:rsidR="005234FF">
        <w:rPr>
          <w:rFonts w:ascii="仿宋" w:eastAsia="仿宋" w:hAnsi="仿宋" w:hint="eastAsia"/>
          <w:color w:val="2B2B2B"/>
          <w:sz w:val="28"/>
          <w:szCs w:val="28"/>
        </w:rPr>
        <w:t>比例增加至</w:t>
      </w:r>
      <w:r w:rsidR="005234FF" w:rsidRPr="00316E63">
        <w:rPr>
          <w:rFonts w:ascii="仿宋" w:eastAsia="仿宋" w:hAnsi="仿宋" w:hint="eastAsia"/>
          <w:color w:val="2B2B2B"/>
          <w:sz w:val="28"/>
          <w:szCs w:val="28"/>
        </w:rPr>
        <w:t>19.44%。</w:t>
      </w:r>
    </w:p>
    <w:p w:rsidR="00F83254" w:rsidRPr="00316E63" w:rsidRDefault="00F83254">
      <w:pPr>
        <w:pStyle w:val="a6"/>
        <w:spacing w:before="0" w:beforeAutospacing="0" w:after="0" w:afterAutospacing="0" w:line="585" w:lineRule="atLeast"/>
        <w:ind w:firstLine="480"/>
        <w:rPr>
          <w:rFonts w:ascii="仿宋" w:eastAsia="仿宋" w:hAnsi="仿宋"/>
          <w:color w:val="2B2B2B"/>
          <w:sz w:val="28"/>
          <w:szCs w:val="28"/>
        </w:rPr>
      </w:pPr>
    </w:p>
    <w:p w:rsidR="00F83254" w:rsidRPr="00316E63" w:rsidRDefault="00524500">
      <w:pPr>
        <w:pStyle w:val="a6"/>
        <w:spacing w:before="0" w:beforeAutospacing="0" w:after="0" w:afterAutospacing="0" w:line="585" w:lineRule="atLeast"/>
        <w:ind w:firstLine="480"/>
        <w:rPr>
          <w:rFonts w:ascii="仿宋" w:eastAsia="仿宋" w:hAnsi="仿宋"/>
          <w:sz w:val="28"/>
          <w:szCs w:val="28"/>
        </w:rPr>
      </w:pPr>
      <w:r w:rsidRPr="00316E63">
        <w:rPr>
          <w:rFonts w:ascii="仿宋" w:eastAsia="仿宋" w:hAnsi="仿宋"/>
          <w:noProof/>
          <w:sz w:val="28"/>
          <w:szCs w:val="28"/>
        </w:rPr>
        <w:drawing>
          <wp:inline distT="0" distB="0" distL="114300" distR="114300">
            <wp:extent cx="4977130" cy="2014855"/>
            <wp:effectExtent l="19050" t="0" r="13970" b="44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55E7B" w:rsidRPr="00394BBD" w:rsidRDefault="005234FF" w:rsidP="00855E7B">
      <w:pPr>
        <w:pStyle w:val="a6"/>
        <w:spacing w:before="0" w:beforeAutospacing="0" w:after="0" w:afterAutospacing="0" w:line="585" w:lineRule="atLeast"/>
        <w:ind w:firstLine="645"/>
        <w:rPr>
          <w:rFonts w:ascii="仿宋" w:eastAsia="仿宋" w:hAnsi="仿宋"/>
          <w:b/>
          <w:color w:val="2B2B2B"/>
          <w:sz w:val="28"/>
          <w:szCs w:val="28"/>
        </w:rPr>
      </w:pPr>
      <w:r>
        <w:rPr>
          <w:rFonts w:ascii="仿宋" w:eastAsia="仿宋" w:hAnsi="仿宋" w:hint="eastAsia"/>
          <w:b/>
          <w:color w:val="2B2B2B"/>
          <w:sz w:val="28"/>
          <w:szCs w:val="28"/>
        </w:rPr>
        <w:t>三</w:t>
      </w:r>
      <w:r w:rsidR="00524500" w:rsidRPr="00394BBD">
        <w:rPr>
          <w:rFonts w:ascii="仿宋" w:eastAsia="仿宋" w:hAnsi="仿宋" w:hint="eastAsia"/>
          <w:b/>
          <w:color w:val="2B2B2B"/>
          <w:sz w:val="28"/>
          <w:szCs w:val="28"/>
        </w:rPr>
        <w:t>、提取篇</w:t>
      </w:r>
    </w:p>
    <w:p w:rsidR="00E1037D" w:rsidRPr="00E1037D" w:rsidRDefault="00384135" w:rsidP="00E1037D">
      <w:pPr>
        <w:ind w:firstLineChars="200" w:firstLine="560"/>
        <w:rPr>
          <w:rFonts w:ascii="仿宋" w:eastAsia="仿宋" w:hAnsi="仿宋"/>
          <w:sz w:val="28"/>
          <w:szCs w:val="28"/>
        </w:rPr>
      </w:pPr>
      <w:r w:rsidRPr="00E1037D">
        <w:rPr>
          <w:rFonts w:ascii="仿宋" w:eastAsia="仿宋" w:hAnsi="仿宋" w:hint="eastAsia"/>
          <w:sz w:val="28"/>
          <w:szCs w:val="28"/>
        </w:rPr>
        <w:t>住房公积金的提取始终显现</w:t>
      </w:r>
      <w:r w:rsidR="005234FF" w:rsidRPr="00E1037D">
        <w:rPr>
          <w:rFonts w:ascii="仿宋" w:eastAsia="仿宋" w:hAnsi="仿宋" w:hint="eastAsia"/>
          <w:sz w:val="28"/>
          <w:szCs w:val="28"/>
        </w:rPr>
        <w:t>制度建立</w:t>
      </w:r>
      <w:r w:rsidRPr="00E1037D">
        <w:rPr>
          <w:rFonts w:ascii="仿宋" w:eastAsia="仿宋" w:hAnsi="仿宋" w:hint="eastAsia"/>
          <w:sz w:val="28"/>
          <w:szCs w:val="28"/>
        </w:rPr>
        <w:t>的初衷，</w:t>
      </w:r>
      <w:r w:rsidR="00524500" w:rsidRPr="00E1037D">
        <w:rPr>
          <w:rFonts w:ascii="仿宋" w:eastAsia="仿宋" w:hAnsi="仿宋" w:hint="eastAsia"/>
          <w:sz w:val="28"/>
          <w:szCs w:val="28"/>
        </w:rPr>
        <w:t>住房消费类提取</w:t>
      </w:r>
    </w:p>
    <w:p w:rsidR="00755FE5" w:rsidRPr="00E1037D" w:rsidRDefault="00384135" w:rsidP="00E1037D">
      <w:pPr>
        <w:rPr>
          <w:rFonts w:ascii="仿宋" w:eastAsia="仿宋" w:hAnsi="仿宋"/>
          <w:sz w:val="28"/>
          <w:szCs w:val="28"/>
        </w:rPr>
      </w:pPr>
      <w:r w:rsidRPr="00E1037D">
        <w:rPr>
          <w:rFonts w:ascii="仿宋" w:eastAsia="仿宋" w:hAnsi="仿宋" w:hint="eastAsia"/>
          <w:sz w:val="28"/>
          <w:szCs w:val="28"/>
        </w:rPr>
        <w:t>保持在70%以上</w:t>
      </w:r>
      <w:r w:rsidR="000A111D">
        <w:rPr>
          <w:rFonts w:ascii="仿宋" w:eastAsia="仿宋" w:hAnsi="仿宋" w:hint="eastAsia"/>
          <w:sz w:val="28"/>
          <w:szCs w:val="28"/>
        </w:rPr>
        <w:t>，其中</w:t>
      </w:r>
      <w:r w:rsidRPr="00E1037D">
        <w:rPr>
          <w:rFonts w:ascii="仿宋" w:eastAsia="仿宋" w:hAnsi="仿宋" w:hint="eastAsia"/>
          <w:sz w:val="28"/>
          <w:szCs w:val="28"/>
        </w:rPr>
        <w:t>2019年</w:t>
      </w:r>
      <w:r w:rsidR="00524500" w:rsidRPr="00E1037D">
        <w:rPr>
          <w:rFonts w:ascii="仿宋" w:eastAsia="仿宋" w:hAnsi="仿宋" w:hint="eastAsia"/>
          <w:sz w:val="28"/>
          <w:szCs w:val="28"/>
        </w:rPr>
        <w:t>占了72.24%</w:t>
      </w:r>
      <w:r w:rsidR="000A111D">
        <w:rPr>
          <w:rFonts w:ascii="仿宋" w:eastAsia="仿宋" w:hAnsi="仿宋" w:hint="eastAsia"/>
          <w:sz w:val="28"/>
          <w:szCs w:val="28"/>
        </w:rPr>
        <w:t>。</w:t>
      </w:r>
      <w:r w:rsidR="00E76BD3" w:rsidRPr="00E1037D">
        <w:rPr>
          <w:rFonts w:ascii="仿宋" w:eastAsia="仿宋" w:hAnsi="仿宋" w:hint="eastAsia"/>
          <w:sz w:val="28"/>
          <w:szCs w:val="28"/>
        </w:rPr>
        <w:t>非住房消费类提取显现</w:t>
      </w:r>
      <w:r w:rsidR="00755FE5" w:rsidRPr="00E1037D">
        <w:rPr>
          <w:rFonts w:ascii="仿宋" w:eastAsia="仿宋" w:hAnsi="仿宋" w:hint="eastAsia"/>
          <w:sz w:val="28"/>
          <w:szCs w:val="28"/>
        </w:rPr>
        <w:t>住房公积金</w:t>
      </w:r>
      <w:r w:rsidR="00E76BD3" w:rsidRPr="00E1037D">
        <w:rPr>
          <w:rFonts w:ascii="仿宋" w:eastAsia="仿宋" w:hAnsi="仿宋" w:hint="eastAsia"/>
          <w:sz w:val="28"/>
          <w:szCs w:val="28"/>
        </w:rPr>
        <w:t>的另一</w:t>
      </w:r>
      <w:r w:rsidR="00755FE5" w:rsidRPr="00E1037D">
        <w:rPr>
          <w:rFonts w:ascii="仿宋" w:eastAsia="仿宋" w:hAnsi="仿宋" w:hint="eastAsia"/>
          <w:sz w:val="28"/>
          <w:szCs w:val="28"/>
        </w:rPr>
        <w:t>优势</w:t>
      </w:r>
      <w:r w:rsidR="00E76BD3" w:rsidRPr="00E1037D">
        <w:rPr>
          <w:rFonts w:ascii="仿宋" w:eastAsia="仿宋" w:hAnsi="仿宋" w:hint="eastAsia"/>
          <w:sz w:val="28"/>
          <w:szCs w:val="28"/>
        </w:rPr>
        <w:t>，为离</w:t>
      </w:r>
      <w:r w:rsidR="00755FE5" w:rsidRPr="00E1037D">
        <w:rPr>
          <w:rFonts w:ascii="仿宋" w:eastAsia="仿宋" w:hAnsi="仿宋" w:hint="eastAsia"/>
          <w:sz w:val="28"/>
          <w:szCs w:val="28"/>
        </w:rPr>
        <w:t>退休</w:t>
      </w:r>
      <w:r w:rsidR="00E76BD3" w:rsidRPr="00E1037D">
        <w:rPr>
          <w:rFonts w:ascii="仿宋" w:eastAsia="仿宋" w:hAnsi="仿宋" w:hint="eastAsia"/>
          <w:sz w:val="28"/>
          <w:szCs w:val="28"/>
        </w:rPr>
        <w:t>职工</w:t>
      </w:r>
      <w:r w:rsidR="005234FF" w:rsidRPr="00E1037D">
        <w:rPr>
          <w:rFonts w:ascii="仿宋" w:eastAsia="仿宋" w:hAnsi="仿宋" w:hint="eastAsia"/>
          <w:sz w:val="28"/>
          <w:szCs w:val="28"/>
        </w:rPr>
        <w:t>积累一笔</w:t>
      </w:r>
      <w:r w:rsidR="00E76BD3" w:rsidRPr="00E1037D">
        <w:rPr>
          <w:rFonts w:ascii="仿宋" w:eastAsia="仿宋" w:hAnsi="仿宋" w:hint="eastAsia"/>
          <w:sz w:val="28"/>
          <w:szCs w:val="28"/>
        </w:rPr>
        <w:t>养老</w:t>
      </w:r>
      <w:r w:rsidR="00755FE5" w:rsidRPr="00E1037D">
        <w:rPr>
          <w:rFonts w:ascii="仿宋" w:eastAsia="仿宋" w:hAnsi="仿宋" w:hint="eastAsia"/>
          <w:sz w:val="28"/>
          <w:szCs w:val="28"/>
        </w:rPr>
        <w:t>金</w:t>
      </w:r>
      <w:r w:rsidR="00E76BD3" w:rsidRPr="00E1037D">
        <w:rPr>
          <w:rFonts w:ascii="仿宋" w:eastAsia="仿宋" w:hAnsi="仿宋" w:hint="eastAsia"/>
          <w:sz w:val="28"/>
          <w:szCs w:val="28"/>
        </w:rPr>
        <w:t>，离退休</w:t>
      </w:r>
      <w:r w:rsidR="005234FF" w:rsidRPr="00E1037D">
        <w:rPr>
          <w:rFonts w:ascii="仿宋" w:eastAsia="仿宋" w:hAnsi="仿宋" w:hint="eastAsia"/>
          <w:sz w:val="28"/>
          <w:szCs w:val="28"/>
        </w:rPr>
        <w:t>时本息一次性</w:t>
      </w:r>
      <w:proofErr w:type="gramStart"/>
      <w:r w:rsidR="005234FF" w:rsidRPr="00E1037D">
        <w:rPr>
          <w:rFonts w:ascii="仿宋" w:eastAsia="仿宋" w:hAnsi="仿宋" w:hint="eastAsia"/>
          <w:sz w:val="28"/>
          <w:szCs w:val="28"/>
        </w:rPr>
        <w:t>提</w:t>
      </w:r>
      <w:r w:rsidR="00E1037D">
        <w:rPr>
          <w:rFonts w:ascii="仿宋" w:eastAsia="仿宋" w:hAnsi="仿宋" w:hint="eastAsia"/>
          <w:sz w:val="28"/>
          <w:szCs w:val="28"/>
        </w:rPr>
        <w:t>取</w:t>
      </w:r>
      <w:r w:rsidR="00E76BD3" w:rsidRPr="00E1037D">
        <w:rPr>
          <w:rFonts w:ascii="仿宋" w:eastAsia="仿宋" w:hAnsi="仿宋" w:hint="eastAsia"/>
          <w:sz w:val="28"/>
          <w:szCs w:val="28"/>
        </w:rPr>
        <w:t>占</w:t>
      </w:r>
      <w:proofErr w:type="gramEnd"/>
      <w:r w:rsidR="00E76BD3" w:rsidRPr="00E1037D">
        <w:rPr>
          <w:rFonts w:ascii="仿宋" w:eastAsia="仿宋" w:hAnsi="仿宋" w:hint="eastAsia"/>
          <w:sz w:val="28"/>
          <w:szCs w:val="28"/>
        </w:rPr>
        <w:t>非住房消费类提取的86.78%。</w:t>
      </w:r>
    </w:p>
    <w:p w:rsidR="00F83254" w:rsidRPr="00316E63" w:rsidRDefault="00524500" w:rsidP="00006575">
      <w:pPr>
        <w:pStyle w:val="a6"/>
        <w:spacing w:before="0" w:beforeAutospacing="0" w:after="0" w:afterAutospacing="0" w:line="585" w:lineRule="atLeast"/>
        <w:jc w:val="center"/>
        <w:rPr>
          <w:rFonts w:ascii="仿宋" w:eastAsia="仿宋" w:hAnsi="仿宋"/>
          <w:sz w:val="28"/>
          <w:szCs w:val="28"/>
        </w:rPr>
      </w:pPr>
      <w:r w:rsidRPr="00316E63">
        <w:rPr>
          <w:rFonts w:ascii="仿宋" w:eastAsia="仿宋" w:hAnsi="仿宋"/>
          <w:noProof/>
          <w:sz w:val="28"/>
          <w:szCs w:val="28"/>
        </w:rPr>
        <w:lastRenderedPageBreak/>
        <w:drawing>
          <wp:inline distT="0" distB="0" distL="114300" distR="114300">
            <wp:extent cx="5476875" cy="2419350"/>
            <wp:effectExtent l="19050" t="0" r="9525" b="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83254" w:rsidRPr="00316E63" w:rsidRDefault="00006575" w:rsidP="00006575">
      <w:pPr>
        <w:pStyle w:val="a6"/>
        <w:spacing w:before="0" w:beforeAutospacing="0" w:after="0" w:afterAutospacing="0" w:line="585" w:lineRule="atLeast"/>
        <w:jc w:val="center"/>
        <w:rPr>
          <w:rFonts w:ascii="仿宋" w:eastAsia="仿宋" w:hAnsi="仿宋"/>
          <w:color w:val="2B2B2B"/>
          <w:sz w:val="28"/>
          <w:szCs w:val="28"/>
        </w:rPr>
      </w:pPr>
      <w:r w:rsidRPr="00316E63">
        <w:rPr>
          <w:rFonts w:ascii="仿宋" w:eastAsia="仿宋" w:hAnsi="仿宋"/>
          <w:noProof/>
          <w:sz w:val="28"/>
          <w:szCs w:val="28"/>
        </w:rPr>
        <w:drawing>
          <wp:inline distT="0" distB="0" distL="114300" distR="114300">
            <wp:extent cx="5476875" cy="2257425"/>
            <wp:effectExtent l="19050" t="0" r="9525" b="0"/>
            <wp:docPr id="2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76BD3" w:rsidRDefault="00E76BD3">
      <w:pPr>
        <w:pStyle w:val="a6"/>
        <w:spacing w:before="0" w:beforeAutospacing="0" w:after="0" w:afterAutospacing="0" w:line="585" w:lineRule="atLeast"/>
        <w:ind w:firstLine="645"/>
        <w:rPr>
          <w:rFonts w:ascii="仿宋" w:eastAsia="仿宋" w:hAnsi="仿宋"/>
          <w:color w:val="2B2B2B"/>
          <w:sz w:val="28"/>
          <w:szCs w:val="28"/>
        </w:rPr>
      </w:pPr>
    </w:p>
    <w:p w:rsidR="00F83254" w:rsidRPr="00394BBD" w:rsidRDefault="005234FF">
      <w:pPr>
        <w:pStyle w:val="a6"/>
        <w:spacing w:before="0" w:beforeAutospacing="0" w:after="0" w:afterAutospacing="0" w:line="585" w:lineRule="atLeast"/>
        <w:ind w:firstLine="645"/>
        <w:rPr>
          <w:rFonts w:ascii="仿宋" w:eastAsia="仿宋" w:hAnsi="仿宋"/>
          <w:b/>
          <w:color w:val="2B2B2B"/>
          <w:sz w:val="28"/>
          <w:szCs w:val="28"/>
        </w:rPr>
      </w:pPr>
      <w:r>
        <w:rPr>
          <w:rFonts w:ascii="仿宋" w:eastAsia="仿宋" w:hAnsi="仿宋" w:hint="eastAsia"/>
          <w:b/>
          <w:color w:val="2B2B2B"/>
          <w:sz w:val="28"/>
          <w:szCs w:val="28"/>
        </w:rPr>
        <w:t>四</w:t>
      </w:r>
      <w:r w:rsidR="00524500" w:rsidRPr="00394BBD">
        <w:rPr>
          <w:rFonts w:ascii="仿宋" w:eastAsia="仿宋" w:hAnsi="仿宋" w:hint="eastAsia"/>
          <w:b/>
          <w:color w:val="2B2B2B"/>
          <w:sz w:val="28"/>
          <w:szCs w:val="28"/>
        </w:rPr>
        <w:t>、贷款篇</w:t>
      </w:r>
    </w:p>
    <w:p w:rsidR="00E76BD3" w:rsidRPr="00316E63" w:rsidRDefault="0003138C" w:rsidP="00E76BD3">
      <w:pPr>
        <w:pStyle w:val="a6"/>
        <w:spacing w:before="0" w:beforeAutospacing="0" w:after="0" w:afterAutospacing="0" w:line="585" w:lineRule="atLeast"/>
        <w:ind w:firstLineChars="200" w:firstLine="560"/>
        <w:rPr>
          <w:rFonts w:ascii="仿宋" w:eastAsia="仿宋" w:hAnsi="仿宋"/>
          <w:color w:val="2B2B2B"/>
          <w:sz w:val="28"/>
          <w:szCs w:val="28"/>
        </w:rPr>
      </w:pPr>
      <w:r w:rsidRPr="00316E63">
        <w:rPr>
          <w:rFonts w:ascii="仿宋" w:eastAsia="仿宋" w:hAnsi="仿宋" w:hint="eastAsia"/>
          <w:color w:val="2B2B2B"/>
          <w:sz w:val="28"/>
          <w:szCs w:val="28"/>
        </w:rPr>
        <w:t>（一）</w:t>
      </w:r>
      <w:proofErr w:type="gramStart"/>
      <w:r w:rsidRPr="00316E63">
        <w:rPr>
          <w:rFonts w:ascii="仿宋" w:eastAsia="仿宋" w:hAnsi="仿宋" w:hint="eastAsia"/>
          <w:color w:val="2B2B2B"/>
          <w:sz w:val="28"/>
          <w:szCs w:val="28"/>
        </w:rPr>
        <w:t>个贷率</w:t>
      </w:r>
      <w:proofErr w:type="gramEnd"/>
      <w:r w:rsidRPr="00316E63">
        <w:rPr>
          <w:rFonts w:ascii="仿宋" w:eastAsia="仿宋" w:hAnsi="仿宋" w:hint="eastAsia"/>
          <w:color w:val="2B2B2B"/>
          <w:sz w:val="28"/>
          <w:szCs w:val="28"/>
        </w:rPr>
        <w:t>趋于合理</w:t>
      </w:r>
      <w:r w:rsidR="00524500" w:rsidRPr="00316E63">
        <w:rPr>
          <w:rFonts w:ascii="仿宋" w:eastAsia="仿宋" w:hAnsi="仿宋" w:hint="eastAsia"/>
          <w:color w:val="2B2B2B"/>
          <w:sz w:val="28"/>
          <w:szCs w:val="28"/>
        </w:rPr>
        <w:t>。</w:t>
      </w:r>
      <w:r w:rsidR="005656F6" w:rsidRPr="00316E63">
        <w:rPr>
          <w:rFonts w:ascii="仿宋" w:eastAsia="仿宋" w:hAnsi="仿宋" w:hint="eastAsia"/>
          <w:color w:val="2B2B2B"/>
          <w:sz w:val="28"/>
          <w:szCs w:val="28"/>
        </w:rPr>
        <w:t>白银市</w:t>
      </w:r>
      <w:r w:rsidR="005656F6">
        <w:rPr>
          <w:rFonts w:ascii="仿宋" w:eastAsia="仿宋" w:hAnsi="仿宋" w:hint="eastAsia"/>
          <w:color w:val="2B2B2B"/>
          <w:sz w:val="28"/>
          <w:szCs w:val="28"/>
        </w:rPr>
        <w:t>中心</w:t>
      </w:r>
      <w:proofErr w:type="gramStart"/>
      <w:r w:rsidR="005656F6" w:rsidRPr="00316E63">
        <w:rPr>
          <w:rFonts w:ascii="仿宋" w:eastAsia="仿宋" w:hAnsi="仿宋" w:hint="eastAsia"/>
          <w:color w:val="2B2B2B"/>
          <w:sz w:val="28"/>
          <w:szCs w:val="28"/>
        </w:rPr>
        <w:t>个贷率</w:t>
      </w:r>
      <w:proofErr w:type="gramEnd"/>
      <w:r w:rsidR="005656F6" w:rsidRPr="00316E63">
        <w:rPr>
          <w:rFonts w:ascii="仿宋" w:eastAsia="仿宋" w:hAnsi="仿宋" w:hint="eastAsia"/>
          <w:color w:val="2B2B2B"/>
          <w:sz w:val="28"/>
          <w:szCs w:val="28"/>
        </w:rPr>
        <w:t>自2015年的73.73%</w:t>
      </w:r>
      <w:r w:rsidR="00877E09">
        <w:rPr>
          <w:rFonts w:ascii="仿宋" w:eastAsia="仿宋" w:hAnsi="仿宋" w:hint="eastAsia"/>
          <w:color w:val="2B2B2B"/>
          <w:sz w:val="28"/>
          <w:szCs w:val="28"/>
        </w:rPr>
        <w:t>逐年提升</w:t>
      </w:r>
      <w:r w:rsidR="000A111D">
        <w:rPr>
          <w:rFonts w:ascii="仿宋" w:eastAsia="仿宋" w:hAnsi="仿宋" w:hint="eastAsia"/>
          <w:color w:val="2B2B2B"/>
          <w:sz w:val="28"/>
          <w:szCs w:val="28"/>
        </w:rPr>
        <w:t>至</w:t>
      </w:r>
      <w:r w:rsidR="005656F6" w:rsidRPr="00316E63">
        <w:rPr>
          <w:rFonts w:ascii="仿宋" w:eastAsia="仿宋" w:hAnsi="仿宋" w:hint="eastAsia"/>
          <w:color w:val="2B2B2B"/>
          <w:sz w:val="28"/>
          <w:szCs w:val="28"/>
        </w:rPr>
        <w:t>2018年</w:t>
      </w:r>
      <w:r w:rsidR="00877E09">
        <w:rPr>
          <w:rFonts w:ascii="仿宋" w:eastAsia="仿宋" w:hAnsi="仿宋" w:hint="eastAsia"/>
          <w:color w:val="2B2B2B"/>
          <w:sz w:val="28"/>
          <w:szCs w:val="28"/>
        </w:rPr>
        <w:t>的</w:t>
      </w:r>
      <w:r w:rsidR="005656F6" w:rsidRPr="00316E63">
        <w:rPr>
          <w:rFonts w:ascii="仿宋" w:eastAsia="仿宋" w:hAnsi="仿宋" w:hint="eastAsia"/>
          <w:color w:val="2B2B2B"/>
          <w:sz w:val="28"/>
          <w:szCs w:val="28"/>
        </w:rPr>
        <w:t>95.94%</w:t>
      </w:r>
      <w:r w:rsidR="00877E09">
        <w:rPr>
          <w:rFonts w:ascii="仿宋" w:eastAsia="仿宋" w:hAnsi="仿宋" w:hint="eastAsia"/>
          <w:color w:val="2B2B2B"/>
          <w:sz w:val="28"/>
          <w:szCs w:val="28"/>
        </w:rPr>
        <w:t>，</w:t>
      </w:r>
      <w:r w:rsidR="00E1037D">
        <w:rPr>
          <w:rFonts w:ascii="仿宋" w:eastAsia="仿宋" w:hAnsi="仿宋" w:hint="eastAsia"/>
          <w:color w:val="2B2B2B"/>
          <w:sz w:val="28"/>
          <w:szCs w:val="28"/>
        </w:rPr>
        <w:t>导致</w:t>
      </w:r>
      <w:r w:rsidR="005656F6">
        <w:rPr>
          <w:rFonts w:ascii="仿宋" w:eastAsia="仿宋" w:hAnsi="仿宋" w:hint="eastAsia"/>
          <w:color w:val="2B2B2B"/>
          <w:sz w:val="28"/>
          <w:szCs w:val="28"/>
        </w:rPr>
        <w:t>中心流动资金紧张，</w:t>
      </w:r>
      <w:r w:rsidR="00877E09">
        <w:rPr>
          <w:rFonts w:ascii="仿宋" w:eastAsia="仿宋" w:hAnsi="仿宋" w:hint="eastAsia"/>
          <w:color w:val="2B2B2B"/>
          <w:sz w:val="28"/>
          <w:szCs w:val="28"/>
        </w:rPr>
        <w:t>从2017年开始</w:t>
      </w:r>
      <w:r w:rsidR="005656F6">
        <w:rPr>
          <w:rFonts w:ascii="仿宋" w:eastAsia="仿宋" w:hAnsi="仿宋" w:hint="eastAsia"/>
          <w:color w:val="2B2B2B"/>
          <w:sz w:val="28"/>
          <w:szCs w:val="28"/>
        </w:rPr>
        <w:t>职工购房贷款都需要轮候排队</w:t>
      </w:r>
      <w:r w:rsidR="000A111D">
        <w:rPr>
          <w:rFonts w:ascii="仿宋" w:eastAsia="仿宋" w:hAnsi="仿宋" w:hint="eastAsia"/>
          <w:color w:val="2B2B2B"/>
          <w:sz w:val="28"/>
          <w:szCs w:val="28"/>
        </w:rPr>
        <w:t>。</w:t>
      </w:r>
      <w:r w:rsidR="005656F6">
        <w:rPr>
          <w:rFonts w:ascii="仿宋" w:eastAsia="仿宋" w:hAnsi="仿宋" w:hint="eastAsia"/>
          <w:color w:val="2B2B2B"/>
          <w:sz w:val="28"/>
          <w:szCs w:val="28"/>
        </w:rPr>
        <w:t>为</w:t>
      </w:r>
      <w:r w:rsidR="00877E09">
        <w:rPr>
          <w:rFonts w:ascii="仿宋" w:eastAsia="仿宋" w:hAnsi="仿宋" w:hint="eastAsia"/>
          <w:color w:val="2B2B2B"/>
          <w:sz w:val="28"/>
          <w:szCs w:val="28"/>
        </w:rPr>
        <w:t>解决资金流动困难，</w:t>
      </w:r>
      <w:r w:rsidR="005656F6">
        <w:rPr>
          <w:rFonts w:ascii="仿宋" w:eastAsia="仿宋" w:hAnsi="仿宋" w:hint="eastAsia"/>
          <w:color w:val="2B2B2B"/>
          <w:sz w:val="28"/>
          <w:szCs w:val="28"/>
        </w:rPr>
        <w:t>体现政策的公平与保障性，中心调整贷款政策，</w:t>
      </w:r>
      <w:r w:rsidR="00904C03">
        <w:rPr>
          <w:rFonts w:ascii="仿宋" w:eastAsia="仿宋" w:hAnsi="仿宋" w:hint="eastAsia"/>
          <w:color w:val="2B2B2B"/>
          <w:sz w:val="28"/>
          <w:szCs w:val="28"/>
        </w:rPr>
        <w:t>严格</w:t>
      </w:r>
      <w:r w:rsidR="005656F6">
        <w:rPr>
          <w:rFonts w:ascii="仿宋" w:eastAsia="仿宋" w:hAnsi="仿宋" w:hint="eastAsia"/>
          <w:color w:val="2B2B2B"/>
          <w:sz w:val="28"/>
          <w:szCs w:val="28"/>
        </w:rPr>
        <w:t>执行“保一限</w:t>
      </w:r>
      <w:r w:rsidR="00E1037D">
        <w:rPr>
          <w:rFonts w:ascii="仿宋" w:eastAsia="仿宋" w:hAnsi="仿宋" w:hint="eastAsia"/>
          <w:color w:val="2B2B2B"/>
          <w:sz w:val="28"/>
          <w:szCs w:val="28"/>
        </w:rPr>
        <w:t>二</w:t>
      </w:r>
      <w:r w:rsidR="005656F6">
        <w:rPr>
          <w:rFonts w:ascii="仿宋" w:eastAsia="仿宋" w:hAnsi="仿宋" w:hint="eastAsia"/>
          <w:color w:val="2B2B2B"/>
          <w:sz w:val="28"/>
          <w:szCs w:val="28"/>
        </w:rPr>
        <w:t>禁三”</w:t>
      </w:r>
      <w:r w:rsidR="00877E09">
        <w:rPr>
          <w:rFonts w:ascii="仿宋" w:eastAsia="仿宋" w:hAnsi="仿宋" w:hint="eastAsia"/>
          <w:color w:val="2B2B2B"/>
          <w:sz w:val="28"/>
          <w:szCs w:val="28"/>
        </w:rPr>
        <w:t>、</w:t>
      </w:r>
      <w:r w:rsidR="005656F6">
        <w:rPr>
          <w:rFonts w:ascii="仿宋" w:eastAsia="仿宋" w:hAnsi="仿宋" w:hint="eastAsia"/>
          <w:color w:val="2B2B2B"/>
          <w:sz w:val="28"/>
          <w:szCs w:val="28"/>
        </w:rPr>
        <w:t>将</w:t>
      </w:r>
      <w:r w:rsidR="00E1037D">
        <w:rPr>
          <w:rFonts w:ascii="仿宋" w:eastAsia="仿宋" w:hAnsi="仿宋" w:hint="eastAsia"/>
          <w:color w:val="2B2B2B"/>
          <w:sz w:val="28"/>
          <w:szCs w:val="28"/>
        </w:rPr>
        <w:t>个人</w:t>
      </w:r>
      <w:r w:rsidR="005656F6">
        <w:rPr>
          <w:rFonts w:ascii="仿宋" w:eastAsia="仿宋" w:hAnsi="仿宋" w:hint="eastAsia"/>
          <w:color w:val="2B2B2B"/>
          <w:sz w:val="28"/>
          <w:szCs w:val="28"/>
        </w:rPr>
        <w:t>贷款金额与职工缴存余额挂钩，从2018年下半年开始，政策调整的效应逐步显现，</w:t>
      </w:r>
      <w:r w:rsidR="005656F6" w:rsidRPr="00316E63">
        <w:rPr>
          <w:rFonts w:ascii="仿宋" w:eastAsia="仿宋" w:hAnsi="仿宋" w:hint="eastAsia"/>
          <w:color w:val="2B2B2B"/>
          <w:sz w:val="28"/>
          <w:szCs w:val="28"/>
        </w:rPr>
        <w:t>2019年</w:t>
      </w:r>
      <w:proofErr w:type="gramStart"/>
      <w:r w:rsidR="005656F6" w:rsidRPr="00316E63">
        <w:rPr>
          <w:rFonts w:ascii="仿宋" w:eastAsia="仿宋" w:hAnsi="仿宋" w:hint="eastAsia"/>
          <w:color w:val="2B2B2B"/>
          <w:sz w:val="28"/>
          <w:szCs w:val="28"/>
        </w:rPr>
        <w:t>个贷率</w:t>
      </w:r>
      <w:proofErr w:type="gramEnd"/>
      <w:r w:rsidR="005656F6" w:rsidRPr="00316E63">
        <w:rPr>
          <w:rFonts w:ascii="仿宋" w:eastAsia="仿宋" w:hAnsi="仿宋" w:hint="eastAsia"/>
          <w:color w:val="2B2B2B"/>
          <w:sz w:val="28"/>
          <w:szCs w:val="28"/>
        </w:rPr>
        <w:t>回落至88.31%</w:t>
      </w:r>
      <w:r w:rsidR="00877E09">
        <w:rPr>
          <w:rFonts w:ascii="仿宋" w:eastAsia="仿宋" w:hAnsi="仿宋" w:hint="eastAsia"/>
          <w:color w:val="2B2B2B"/>
          <w:sz w:val="28"/>
          <w:szCs w:val="28"/>
        </w:rPr>
        <w:t>，资金的流动性得到缓解</w:t>
      </w:r>
      <w:r w:rsidR="005656F6" w:rsidRPr="00316E63">
        <w:rPr>
          <w:rFonts w:ascii="仿宋" w:eastAsia="仿宋" w:hAnsi="仿宋" w:hint="eastAsia"/>
          <w:color w:val="2B2B2B"/>
          <w:sz w:val="28"/>
          <w:szCs w:val="28"/>
        </w:rPr>
        <w:t>。</w:t>
      </w:r>
    </w:p>
    <w:p w:rsidR="00F83254" w:rsidRPr="00316E63" w:rsidRDefault="00F83254" w:rsidP="00316E63">
      <w:pPr>
        <w:pStyle w:val="a6"/>
        <w:spacing w:before="0" w:beforeAutospacing="0" w:after="0" w:afterAutospacing="0" w:line="585" w:lineRule="atLeast"/>
        <w:ind w:firstLineChars="200" w:firstLine="560"/>
        <w:rPr>
          <w:rFonts w:ascii="仿宋" w:eastAsia="仿宋" w:hAnsi="仿宋"/>
          <w:color w:val="FF0000"/>
          <w:sz w:val="28"/>
          <w:szCs w:val="28"/>
        </w:rPr>
      </w:pPr>
    </w:p>
    <w:p w:rsidR="003A6D67" w:rsidRPr="00316E63" w:rsidRDefault="003A6D67" w:rsidP="00316E63">
      <w:pPr>
        <w:pStyle w:val="a6"/>
        <w:spacing w:before="0" w:beforeAutospacing="0" w:after="0" w:afterAutospacing="0" w:line="585" w:lineRule="atLeast"/>
        <w:ind w:firstLineChars="200" w:firstLine="560"/>
        <w:rPr>
          <w:rFonts w:ascii="仿宋" w:eastAsia="仿宋" w:hAnsi="仿宋"/>
          <w:color w:val="2B2B2B"/>
          <w:sz w:val="28"/>
          <w:szCs w:val="28"/>
        </w:rPr>
      </w:pPr>
      <w:r w:rsidRPr="00316E63">
        <w:rPr>
          <w:rFonts w:ascii="仿宋" w:eastAsia="仿宋" w:hAnsi="仿宋"/>
          <w:noProof/>
          <w:color w:val="2B2B2B"/>
          <w:sz w:val="28"/>
          <w:szCs w:val="28"/>
        </w:rPr>
        <w:lastRenderedPageBreak/>
        <w:drawing>
          <wp:inline distT="0" distB="0" distL="114300" distR="114300">
            <wp:extent cx="4812665" cy="2057400"/>
            <wp:effectExtent l="19050" t="0" r="26035" b="0"/>
            <wp:docPr id="1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94BBD" w:rsidRDefault="0003138C" w:rsidP="001F6C4E">
      <w:pPr>
        <w:pStyle w:val="a6"/>
        <w:spacing w:line="560" w:lineRule="atLeast"/>
        <w:ind w:firstLineChars="200" w:firstLine="560"/>
        <w:jc w:val="both"/>
        <w:rPr>
          <w:rFonts w:ascii="仿宋" w:eastAsia="仿宋" w:hAnsi="仿宋"/>
          <w:sz w:val="28"/>
          <w:szCs w:val="28"/>
        </w:rPr>
      </w:pPr>
      <w:r w:rsidRPr="00316E63">
        <w:rPr>
          <w:rFonts w:ascii="仿宋" w:eastAsia="仿宋" w:hAnsi="仿宋" w:hint="eastAsia"/>
          <w:color w:val="2B2B2B"/>
          <w:sz w:val="28"/>
          <w:szCs w:val="28"/>
        </w:rPr>
        <w:t>（二）</w:t>
      </w:r>
      <w:r w:rsidR="001F6C4E">
        <w:rPr>
          <w:rFonts w:ascii="仿宋" w:eastAsia="仿宋" w:hAnsi="仿宋" w:hint="eastAsia"/>
          <w:color w:val="2B2B2B"/>
          <w:sz w:val="28"/>
          <w:szCs w:val="28"/>
        </w:rPr>
        <w:t>保障</w:t>
      </w:r>
      <w:r w:rsidR="00C166B2" w:rsidRPr="001F6C4E">
        <w:rPr>
          <w:rFonts w:ascii="仿宋" w:eastAsia="仿宋" w:cs="Arial" w:hint="eastAsia"/>
          <w:sz w:val="28"/>
          <w:szCs w:val="28"/>
        </w:rPr>
        <w:t>购买基本住房需求</w:t>
      </w:r>
      <w:r w:rsidR="001F6C4E">
        <w:rPr>
          <w:rFonts w:ascii="仿宋" w:eastAsia="仿宋" w:hAnsi="仿宋" w:hint="eastAsia"/>
          <w:color w:val="2B2B2B"/>
          <w:sz w:val="28"/>
          <w:szCs w:val="28"/>
        </w:rPr>
        <w:t>。</w:t>
      </w:r>
      <w:r w:rsidR="001F6C4E" w:rsidRPr="001F6C4E">
        <w:rPr>
          <w:rFonts w:ascii="仿宋" w:eastAsia="仿宋" w:hAnsi="仿宋" w:hint="eastAsia"/>
          <w:color w:val="2B2B2B"/>
          <w:sz w:val="28"/>
          <w:szCs w:val="28"/>
        </w:rPr>
        <w:t>2019</w:t>
      </w:r>
      <w:r w:rsidR="001F6C4E" w:rsidRPr="001F6C4E">
        <w:rPr>
          <w:rFonts w:ascii="仿宋" w:eastAsia="仿宋" w:cs="Arial" w:hint="eastAsia"/>
          <w:sz w:val="28"/>
          <w:szCs w:val="28"/>
        </w:rPr>
        <w:t>年我市住房公积金个人贷款主体为首次购房</w:t>
      </w:r>
      <w:r w:rsidR="00877E09">
        <w:rPr>
          <w:rFonts w:ascii="仿宋" w:eastAsia="仿宋" w:cs="Arial" w:hint="eastAsia"/>
          <w:sz w:val="28"/>
          <w:szCs w:val="28"/>
        </w:rPr>
        <w:t>群体</w:t>
      </w:r>
      <w:r w:rsidR="001F6C4E" w:rsidRPr="001F6C4E">
        <w:rPr>
          <w:rFonts w:ascii="仿宋" w:eastAsia="仿宋" w:cs="Arial" w:hint="eastAsia"/>
          <w:sz w:val="28"/>
          <w:szCs w:val="28"/>
        </w:rPr>
        <w:t>。</w:t>
      </w:r>
      <w:r w:rsidR="001F6C4E">
        <w:rPr>
          <w:rFonts w:ascii="仿宋" w:eastAsia="仿宋" w:hAnsi="仿宋" w:hint="eastAsia"/>
          <w:sz w:val="28"/>
          <w:szCs w:val="28"/>
        </w:rPr>
        <w:t>按年龄分</w:t>
      </w:r>
      <w:r w:rsidR="00524500" w:rsidRPr="00316E63">
        <w:rPr>
          <w:rFonts w:ascii="仿宋" w:eastAsia="仿宋" w:hAnsi="仿宋" w:hint="eastAsia"/>
          <w:sz w:val="28"/>
          <w:szCs w:val="28"/>
        </w:rPr>
        <w:t>40岁以下</w:t>
      </w:r>
      <w:r w:rsidR="001F6C4E">
        <w:rPr>
          <w:rFonts w:ascii="仿宋" w:eastAsia="仿宋" w:hAnsi="仿宋" w:hint="eastAsia"/>
          <w:sz w:val="28"/>
          <w:szCs w:val="28"/>
        </w:rPr>
        <w:t>购房贷款的职工占</w:t>
      </w:r>
      <w:r w:rsidR="00524500" w:rsidRPr="00316E63">
        <w:rPr>
          <w:rFonts w:ascii="仿宋" w:eastAsia="仿宋" w:hAnsi="仿宋" w:hint="eastAsia"/>
          <w:sz w:val="28"/>
          <w:szCs w:val="28"/>
        </w:rPr>
        <w:t>比达到54.82%</w:t>
      </w:r>
      <w:r w:rsidR="001F6C4E">
        <w:rPr>
          <w:rFonts w:ascii="仿宋" w:eastAsia="仿宋" w:hAnsi="仿宋" w:hint="eastAsia"/>
          <w:sz w:val="28"/>
          <w:szCs w:val="28"/>
        </w:rPr>
        <w:t>、按贷款次数</w:t>
      </w:r>
      <w:proofErr w:type="gramStart"/>
      <w:r w:rsidR="001F6C4E">
        <w:rPr>
          <w:rFonts w:ascii="仿宋" w:eastAsia="仿宋" w:hAnsi="仿宋" w:hint="eastAsia"/>
          <w:sz w:val="28"/>
          <w:szCs w:val="28"/>
        </w:rPr>
        <w:t>分</w:t>
      </w:r>
      <w:r w:rsidR="00524500" w:rsidRPr="00316E63">
        <w:rPr>
          <w:rFonts w:ascii="仿宋" w:eastAsia="仿宋" w:hAnsi="仿宋" w:hint="eastAsia"/>
          <w:sz w:val="28"/>
          <w:szCs w:val="28"/>
        </w:rPr>
        <w:t>首次</w:t>
      </w:r>
      <w:proofErr w:type="gramEnd"/>
      <w:r w:rsidR="00524500" w:rsidRPr="00316E63">
        <w:rPr>
          <w:rFonts w:ascii="仿宋" w:eastAsia="仿宋" w:hAnsi="仿宋" w:hint="eastAsia"/>
          <w:sz w:val="28"/>
          <w:szCs w:val="28"/>
        </w:rPr>
        <w:t>申请公积金贷款的占比为91</w:t>
      </w:r>
      <w:r w:rsidR="00C53BB6" w:rsidRPr="00316E63">
        <w:rPr>
          <w:rFonts w:ascii="仿宋" w:eastAsia="仿宋" w:hAnsi="仿宋" w:hint="eastAsia"/>
          <w:sz w:val="28"/>
          <w:szCs w:val="28"/>
        </w:rPr>
        <w:t>.1</w:t>
      </w:r>
      <w:r w:rsidR="00524500" w:rsidRPr="00316E63">
        <w:rPr>
          <w:rFonts w:ascii="仿宋" w:eastAsia="仿宋" w:hAnsi="仿宋" w:hint="eastAsia"/>
          <w:sz w:val="28"/>
          <w:szCs w:val="28"/>
        </w:rPr>
        <w:t>%</w:t>
      </w:r>
      <w:r w:rsidR="001F6C4E">
        <w:rPr>
          <w:rFonts w:ascii="仿宋" w:eastAsia="仿宋" w:hAnsi="仿宋" w:hint="eastAsia"/>
          <w:sz w:val="28"/>
          <w:szCs w:val="28"/>
        </w:rPr>
        <w:t>、按购房</w:t>
      </w:r>
      <w:r w:rsidR="00524500" w:rsidRPr="00316E63">
        <w:rPr>
          <w:rFonts w:ascii="仿宋" w:eastAsia="仿宋" w:hAnsi="仿宋" w:hint="eastAsia"/>
          <w:sz w:val="28"/>
          <w:szCs w:val="28"/>
        </w:rPr>
        <w:t>面积</w:t>
      </w:r>
      <w:r w:rsidR="001F6C4E">
        <w:rPr>
          <w:rFonts w:ascii="仿宋" w:eastAsia="仿宋" w:hAnsi="仿宋" w:hint="eastAsia"/>
          <w:sz w:val="28"/>
          <w:szCs w:val="28"/>
        </w:rPr>
        <w:t>分</w:t>
      </w:r>
      <w:r w:rsidR="00524500" w:rsidRPr="00316E63">
        <w:rPr>
          <w:rFonts w:ascii="仿宋" w:eastAsia="仿宋" w:hAnsi="仿宋" w:hint="eastAsia"/>
          <w:sz w:val="28"/>
          <w:szCs w:val="28"/>
        </w:rPr>
        <w:t>在90至144平方米的占比76%</w:t>
      </w:r>
      <w:r w:rsidR="00C166B2">
        <w:rPr>
          <w:rFonts w:ascii="仿宋" w:eastAsia="仿宋" w:cs="Arial" w:hint="eastAsia"/>
          <w:sz w:val="28"/>
          <w:szCs w:val="28"/>
        </w:rPr>
        <w:t>，</w:t>
      </w:r>
      <w:r w:rsidR="00904C03">
        <w:rPr>
          <w:rFonts w:ascii="仿宋" w:eastAsia="仿宋" w:cs="Arial" w:hint="eastAsia"/>
          <w:sz w:val="28"/>
          <w:szCs w:val="28"/>
        </w:rPr>
        <w:t>发挥了</w:t>
      </w:r>
      <w:r w:rsidR="00C166B2">
        <w:rPr>
          <w:rFonts w:ascii="仿宋" w:eastAsia="仿宋" w:cs="Arial" w:hint="eastAsia"/>
          <w:sz w:val="28"/>
          <w:szCs w:val="28"/>
        </w:rPr>
        <w:t>住房公积金政策</w:t>
      </w:r>
      <w:r w:rsidR="00C166B2" w:rsidRPr="001F6C4E">
        <w:rPr>
          <w:rFonts w:ascii="仿宋" w:eastAsia="仿宋" w:cs="Arial" w:hint="eastAsia"/>
          <w:sz w:val="28"/>
          <w:szCs w:val="28"/>
        </w:rPr>
        <w:t>支持职工购买基本住房需求</w:t>
      </w:r>
      <w:r w:rsidR="00C166B2">
        <w:rPr>
          <w:rFonts w:ascii="仿宋" w:eastAsia="仿宋" w:cs="Arial" w:hint="eastAsia"/>
          <w:sz w:val="28"/>
          <w:szCs w:val="28"/>
        </w:rPr>
        <w:t>的优势</w:t>
      </w:r>
      <w:r w:rsidR="001F6C4E">
        <w:rPr>
          <w:rFonts w:ascii="仿宋" w:eastAsia="仿宋" w:hAnsi="仿宋" w:hint="eastAsia"/>
          <w:sz w:val="28"/>
          <w:szCs w:val="28"/>
        </w:rPr>
        <w:t>。</w:t>
      </w:r>
    </w:p>
    <w:p w:rsidR="00F83254" w:rsidRPr="00316E63" w:rsidRDefault="00524500" w:rsidP="001F6C4E">
      <w:pPr>
        <w:pStyle w:val="a6"/>
        <w:spacing w:line="560" w:lineRule="atLeast"/>
        <w:ind w:firstLineChars="200" w:firstLine="560"/>
        <w:jc w:val="both"/>
        <w:rPr>
          <w:rFonts w:ascii="仿宋" w:eastAsia="仿宋" w:hAnsi="仿宋"/>
          <w:color w:val="2B2B2B"/>
          <w:sz w:val="28"/>
          <w:szCs w:val="28"/>
        </w:rPr>
      </w:pPr>
      <w:r w:rsidRPr="00316E63">
        <w:rPr>
          <w:rFonts w:ascii="仿宋" w:eastAsia="仿宋" w:hAnsi="仿宋" w:hint="eastAsia"/>
          <w:color w:val="2B2B2B"/>
          <w:sz w:val="28"/>
          <w:szCs w:val="28"/>
        </w:rPr>
        <w:t>2019年发放的贷款中，中低收入职工占比99%</w:t>
      </w:r>
      <w:r w:rsidR="00112618" w:rsidRPr="00316E63">
        <w:rPr>
          <w:rFonts w:ascii="仿宋" w:eastAsia="仿宋" w:hAnsi="仿宋" w:hint="eastAsia"/>
          <w:color w:val="2B2B2B"/>
          <w:sz w:val="28"/>
          <w:szCs w:val="28"/>
        </w:rPr>
        <w:t>，且当年中低收入职工贷款占比已连续五年保持在9</w:t>
      </w:r>
      <w:r w:rsidR="001317A1" w:rsidRPr="00316E63">
        <w:rPr>
          <w:rFonts w:ascii="仿宋" w:eastAsia="仿宋" w:hAnsi="仿宋" w:hint="eastAsia"/>
          <w:color w:val="2B2B2B"/>
          <w:sz w:val="28"/>
          <w:szCs w:val="28"/>
        </w:rPr>
        <w:t>7</w:t>
      </w:r>
      <w:r w:rsidR="00112618" w:rsidRPr="00316E63">
        <w:rPr>
          <w:rFonts w:ascii="仿宋" w:eastAsia="仿宋" w:hAnsi="仿宋" w:hint="eastAsia"/>
          <w:color w:val="2B2B2B"/>
          <w:sz w:val="28"/>
          <w:szCs w:val="28"/>
        </w:rPr>
        <w:t>%</w:t>
      </w:r>
      <w:r w:rsidR="001317A1" w:rsidRPr="00316E63">
        <w:rPr>
          <w:rFonts w:ascii="仿宋" w:eastAsia="仿宋" w:hAnsi="仿宋" w:hint="eastAsia"/>
          <w:color w:val="2B2B2B"/>
          <w:sz w:val="28"/>
          <w:szCs w:val="28"/>
        </w:rPr>
        <w:t>至99%区间内</w:t>
      </w:r>
      <w:r w:rsidR="00112618" w:rsidRPr="00316E63">
        <w:rPr>
          <w:rFonts w:ascii="仿宋" w:eastAsia="仿宋" w:hAnsi="仿宋" w:hint="eastAsia"/>
          <w:color w:val="2B2B2B"/>
          <w:sz w:val="28"/>
          <w:szCs w:val="28"/>
        </w:rPr>
        <w:t>。</w:t>
      </w:r>
      <w:r w:rsidR="0003138C" w:rsidRPr="00316E63">
        <w:rPr>
          <w:rFonts w:ascii="仿宋" w:eastAsia="仿宋" w:hAnsi="仿宋"/>
          <w:color w:val="2B2B2B"/>
          <w:sz w:val="28"/>
          <w:szCs w:val="28"/>
        </w:rPr>
        <w:t xml:space="preserve"> </w:t>
      </w:r>
    </w:p>
    <w:p w:rsidR="00F83254" w:rsidRPr="00316E63" w:rsidRDefault="00524500">
      <w:pPr>
        <w:pStyle w:val="a6"/>
        <w:spacing w:before="0" w:beforeAutospacing="0" w:after="0" w:afterAutospacing="0" w:line="585" w:lineRule="atLeast"/>
        <w:jc w:val="center"/>
        <w:rPr>
          <w:rFonts w:ascii="仿宋" w:eastAsia="仿宋" w:hAnsi="仿宋"/>
          <w:color w:val="2B2B2B"/>
          <w:sz w:val="28"/>
          <w:szCs w:val="28"/>
        </w:rPr>
      </w:pPr>
      <w:r w:rsidRPr="00316E63">
        <w:rPr>
          <w:rFonts w:ascii="仿宋" w:eastAsia="仿宋" w:hAnsi="仿宋"/>
          <w:noProof/>
          <w:sz w:val="28"/>
          <w:szCs w:val="28"/>
        </w:rPr>
        <w:drawing>
          <wp:inline distT="0" distB="0" distL="114300" distR="114300">
            <wp:extent cx="5038725" cy="1847850"/>
            <wp:effectExtent l="19050" t="0" r="9525" b="0"/>
            <wp:docPr id="1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90396" w:rsidRPr="00C60D42" w:rsidRDefault="00524500" w:rsidP="00C60D42">
      <w:pPr>
        <w:ind w:firstLineChars="200" w:firstLine="562"/>
        <w:rPr>
          <w:rFonts w:ascii="仿宋" w:eastAsia="仿宋" w:hAnsi="仿宋"/>
          <w:b/>
          <w:color w:val="2B2B2B"/>
          <w:sz w:val="28"/>
          <w:szCs w:val="28"/>
        </w:rPr>
      </w:pPr>
      <w:r w:rsidRPr="00C60D42">
        <w:rPr>
          <w:rFonts w:ascii="仿宋" w:eastAsia="仿宋" w:hAnsi="仿宋" w:hint="eastAsia"/>
          <w:b/>
          <w:color w:val="2B2B2B"/>
          <w:sz w:val="28"/>
          <w:szCs w:val="28"/>
        </w:rPr>
        <w:t>四、</w:t>
      </w:r>
      <w:r w:rsidR="00190396" w:rsidRPr="00C60D42">
        <w:rPr>
          <w:rFonts w:ascii="仿宋" w:eastAsia="仿宋" w:hAnsi="仿宋" w:hint="eastAsia"/>
          <w:b/>
          <w:sz w:val="28"/>
          <w:szCs w:val="28"/>
        </w:rPr>
        <w:t>风险防控</w:t>
      </w:r>
      <w:r w:rsidR="00F513A6" w:rsidRPr="00C60D42">
        <w:rPr>
          <w:rFonts w:ascii="仿宋" w:eastAsia="仿宋" w:hAnsi="仿宋" w:hint="eastAsia"/>
          <w:b/>
          <w:sz w:val="28"/>
          <w:szCs w:val="28"/>
        </w:rPr>
        <w:t xml:space="preserve"> </w:t>
      </w:r>
    </w:p>
    <w:p w:rsidR="003A6D67" w:rsidRPr="00C60D42" w:rsidRDefault="00524500" w:rsidP="00C60D42">
      <w:pPr>
        <w:ind w:firstLineChars="200" w:firstLine="560"/>
        <w:rPr>
          <w:rFonts w:ascii="仿宋" w:eastAsia="仿宋" w:hAnsi="仿宋"/>
          <w:color w:val="2B2B2B"/>
          <w:sz w:val="28"/>
          <w:szCs w:val="28"/>
        </w:rPr>
      </w:pPr>
      <w:r w:rsidRPr="00C60D42">
        <w:rPr>
          <w:rFonts w:ascii="仿宋" w:eastAsia="仿宋" w:hAnsi="仿宋" w:hint="eastAsia"/>
          <w:color w:val="2B2B2B"/>
          <w:sz w:val="28"/>
          <w:szCs w:val="28"/>
        </w:rPr>
        <w:t>资产风险控制良好：</w:t>
      </w:r>
      <w:r w:rsidR="003A6D67" w:rsidRPr="00C60D42">
        <w:rPr>
          <w:rFonts w:ascii="仿宋" w:eastAsia="仿宋" w:hAnsi="仿宋" w:hint="eastAsia"/>
          <w:color w:val="2B2B2B"/>
          <w:sz w:val="28"/>
          <w:szCs w:val="28"/>
        </w:rPr>
        <w:t>近五年来白银市住房公积金管理中心未使用个人贷款风险准备金核销呆坏账。</w:t>
      </w:r>
    </w:p>
    <w:p w:rsidR="00F83254" w:rsidRPr="00C60D42" w:rsidRDefault="00524500" w:rsidP="00C60D42">
      <w:pPr>
        <w:ind w:firstLineChars="200" w:firstLine="560"/>
        <w:rPr>
          <w:rFonts w:ascii="仿宋" w:eastAsia="仿宋" w:hAnsi="仿宋"/>
          <w:color w:val="2B2B2B"/>
          <w:sz w:val="28"/>
          <w:szCs w:val="28"/>
        </w:rPr>
      </w:pPr>
      <w:r w:rsidRPr="00C60D42">
        <w:rPr>
          <w:rFonts w:ascii="仿宋" w:eastAsia="仿宋" w:hAnsi="仿宋" w:hint="eastAsia"/>
          <w:color w:val="2B2B2B"/>
          <w:sz w:val="28"/>
          <w:szCs w:val="28"/>
        </w:rPr>
        <w:lastRenderedPageBreak/>
        <w:t>截止2019年年底</w:t>
      </w:r>
      <w:r w:rsidR="000A111D">
        <w:rPr>
          <w:rFonts w:ascii="仿宋" w:eastAsia="仿宋" w:hAnsi="仿宋" w:hint="eastAsia"/>
          <w:color w:val="2B2B2B"/>
          <w:sz w:val="28"/>
          <w:szCs w:val="28"/>
        </w:rPr>
        <w:t>，</w:t>
      </w:r>
      <w:r w:rsidRPr="00C60D42">
        <w:rPr>
          <w:rFonts w:ascii="仿宋" w:eastAsia="仿宋" w:hAnsi="仿宋" w:hint="eastAsia"/>
          <w:color w:val="2B2B2B"/>
          <w:sz w:val="28"/>
          <w:szCs w:val="28"/>
        </w:rPr>
        <w:t>个人贷款风险准备金余额8645.21万元，个人贷款风险准备金余额与个人贷款余额的比率为1.98%，风险准备金准备充足。</w:t>
      </w:r>
    </w:p>
    <w:p w:rsidR="00F83254" w:rsidRPr="00C60D42" w:rsidRDefault="00524500" w:rsidP="00C60D42">
      <w:pPr>
        <w:ind w:firstLineChars="200" w:firstLine="560"/>
        <w:rPr>
          <w:rFonts w:ascii="仿宋" w:eastAsia="仿宋" w:hAnsi="仿宋"/>
          <w:color w:val="2B2B2B"/>
          <w:sz w:val="28"/>
          <w:szCs w:val="28"/>
        </w:rPr>
      </w:pPr>
      <w:r w:rsidRPr="00C60D42">
        <w:rPr>
          <w:rFonts w:ascii="仿宋" w:eastAsia="仿宋" w:hAnsi="仿宋" w:hint="eastAsia"/>
          <w:color w:val="2B2B2B"/>
          <w:sz w:val="28"/>
          <w:szCs w:val="28"/>
        </w:rPr>
        <w:t>2019年个人住房贷款逾期率为</w:t>
      </w:r>
      <w:r w:rsidR="00240B28" w:rsidRPr="00C60D42">
        <w:rPr>
          <w:rFonts w:ascii="仿宋" w:eastAsia="仿宋" w:hAnsi="仿宋" w:hint="eastAsia"/>
          <w:color w:val="2B2B2B"/>
          <w:sz w:val="28"/>
          <w:szCs w:val="28"/>
        </w:rPr>
        <w:t>0.</w:t>
      </w:r>
      <w:r w:rsidRPr="00C60D42">
        <w:rPr>
          <w:rFonts w:ascii="仿宋" w:eastAsia="仿宋" w:hAnsi="仿宋" w:hint="eastAsia"/>
          <w:color w:val="2B2B2B"/>
          <w:sz w:val="28"/>
          <w:szCs w:val="28"/>
        </w:rPr>
        <w:t>1</w:t>
      </w:r>
      <w:r w:rsidRPr="00C60D42">
        <w:rPr>
          <w:rFonts w:ascii="仿宋" w:eastAsia="仿宋" w:hAnsi="仿宋"/>
          <w:color w:val="2B2B2B"/>
          <w:sz w:val="28"/>
          <w:szCs w:val="28"/>
        </w:rPr>
        <w:t>‰</w:t>
      </w:r>
      <w:r w:rsidRPr="00C60D42">
        <w:rPr>
          <w:rFonts w:ascii="仿宋" w:eastAsia="仿宋" w:hAnsi="仿宋" w:hint="eastAsia"/>
          <w:color w:val="2B2B2B"/>
          <w:sz w:val="28"/>
          <w:szCs w:val="28"/>
        </w:rPr>
        <w:t>。近五年来，我市个人住房公积金贷款逾期率连续递减</w:t>
      </w:r>
      <w:r w:rsidR="00240B28" w:rsidRPr="00C60D42">
        <w:rPr>
          <w:rFonts w:ascii="仿宋" w:eastAsia="仿宋" w:hAnsi="仿宋" w:hint="eastAsia"/>
          <w:color w:val="2B2B2B"/>
          <w:sz w:val="28"/>
          <w:szCs w:val="28"/>
        </w:rPr>
        <w:t>。</w:t>
      </w:r>
    </w:p>
    <w:p w:rsidR="00190396" w:rsidRPr="00316E63" w:rsidRDefault="00190396" w:rsidP="00316E63">
      <w:pPr>
        <w:pStyle w:val="a6"/>
        <w:spacing w:before="0" w:beforeAutospacing="0" w:after="0" w:afterAutospacing="0" w:line="585" w:lineRule="atLeast"/>
        <w:ind w:firstLineChars="200" w:firstLine="560"/>
        <w:rPr>
          <w:rFonts w:ascii="仿宋" w:eastAsia="仿宋" w:hAnsi="仿宋"/>
          <w:color w:val="2B2B2B"/>
          <w:sz w:val="28"/>
          <w:szCs w:val="28"/>
        </w:rPr>
      </w:pPr>
    </w:p>
    <w:p w:rsidR="00F83254" w:rsidRPr="00316E63" w:rsidRDefault="00A97276">
      <w:pPr>
        <w:pStyle w:val="a6"/>
        <w:spacing w:before="0" w:beforeAutospacing="0" w:after="0" w:afterAutospacing="0" w:line="585" w:lineRule="atLeast"/>
        <w:ind w:left="480"/>
        <w:rPr>
          <w:rFonts w:ascii="仿宋" w:eastAsia="仿宋" w:hAnsi="仿宋"/>
          <w:color w:val="2B2B2B"/>
          <w:sz w:val="28"/>
          <w:szCs w:val="28"/>
        </w:rPr>
      </w:pPr>
      <w:r w:rsidRPr="00316E63">
        <w:rPr>
          <w:rFonts w:ascii="仿宋" w:eastAsia="仿宋" w:hAnsi="仿宋"/>
          <w:noProof/>
          <w:color w:val="2B2B2B"/>
          <w:sz w:val="28"/>
          <w:szCs w:val="28"/>
        </w:rPr>
        <w:drawing>
          <wp:inline distT="0" distB="0" distL="0" distR="0">
            <wp:extent cx="4305300" cy="2419350"/>
            <wp:effectExtent l="19050" t="0" r="19050" b="0"/>
            <wp:docPr id="1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60D42" w:rsidRDefault="00190396" w:rsidP="00C60D42">
      <w:pPr>
        <w:pStyle w:val="a6"/>
        <w:spacing w:before="0" w:beforeAutospacing="0" w:after="0" w:afterAutospacing="0" w:line="585" w:lineRule="atLeast"/>
        <w:ind w:firstLine="645"/>
        <w:rPr>
          <w:rFonts w:ascii="仿宋" w:eastAsia="仿宋" w:hAnsi="仿宋"/>
          <w:b/>
          <w:color w:val="2B2B2B"/>
          <w:sz w:val="28"/>
          <w:szCs w:val="28"/>
        </w:rPr>
      </w:pPr>
      <w:r w:rsidRPr="00190396">
        <w:rPr>
          <w:rFonts w:ascii="仿宋" w:eastAsia="仿宋" w:hint="eastAsia"/>
          <w:b/>
          <w:sz w:val="28"/>
          <w:szCs w:val="28"/>
        </w:rPr>
        <w:t>五、</w:t>
      </w:r>
      <w:r w:rsidRPr="00394BBD">
        <w:rPr>
          <w:rFonts w:ascii="仿宋" w:eastAsia="仿宋" w:hAnsi="仿宋" w:hint="eastAsia"/>
          <w:b/>
          <w:color w:val="2B2B2B"/>
          <w:sz w:val="28"/>
          <w:szCs w:val="28"/>
        </w:rPr>
        <w:t>社会</w:t>
      </w:r>
      <w:r w:rsidRPr="00394BBD">
        <w:rPr>
          <w:rFonts w:ascii="仿宋" w:eastAsia="仿宋" w:hAnsi="仿宋" w:cs="Arial" w:hint="eastAsia"/>
          <w:b/>
          <w:sz w:val="28"/>
          <w:szCs w:val="28"/>
        </w:rPr>
        <w:t>效益</w:t>
      </w:r>
      <w:r>
        <w:rPr>
          <w:rFonts w:ascii="仿宋" w:eastAsia="仿宋" w:hAnsi="仿宋" w:cs="Arial" w:hint="eastAsia"/>
          <w:b/>
          <w:sz w:val="28"/>
          <w:szCs w:val="28"/>
        </w:rPr>
        <w:t>与</w:t>
      </w:r>
      <w:r w:rsidRPr="00877E09">
        <w:rPr>
          <w:rFonts w:ascii="仿宋" w:eastAsia="仿宋" w:hAnsi="仿宋" w:hint="eastAsia"/>
          <w:b/>
          <w:color w:val="2B2B2B"/>
          <w:sz w:val="28"/>
          <w:szCs w:val="28"/>
        </w:rPr>
        <w:t>服务</w:t>
      </w:r>
    </w:p>
    <w:p w:rsidR="00C60D42" w:rsidRDefault="00190396" w:rsidP="00C60D42">
      <w:pPr>
        <w:pStyle w:val="a6"/>
        <w:spacing w:before="0" w:beforeAutospacing="0" w:after="0" w:afterAutospacing="0" w:line="585" w:lineRule="atLeast"/>
        <w:ind w:firstLine="645"/>
        <w:rPr>
          <w:rFonts w:ascii="仿宋" w:eastAsia="仿宋"/>
          <w:sz w:val="28"/>
          <w:szCs w:val="28"/>
        </w:rPr>
      </w:pPr>
      <w:r>
        <w:rPr>
          <w:rFonts w:ascii="仿宋" w:eastAsia="仿宋" w:hint="eastAsia"/>
          <w:sz w:val="28"/>
          <w:szCs w:val="28"/>
        </w:rPr>
        <w:t>（一）</w:t>
      </w:r>
      <w:r w:rsidRPr="00394BBD">
        <w:rPr>
          <w:rFonts w:ascii="仿宋" w:eastAsia="仿宋" w:hint="eastAsia"/>
          <w:sz w:val="28"/>
          <w:szCs w:val="28"/>
        </w:rPr>
        <w:t>2019年，</w:t>
      </w:r>
      <w:r>
        <w:rPr>
          <w:rFonts w:ascii="仿宋" w:eastAsia="仿宋" w:hint="eastAsia"/>
          <w:sz w:val="28"/>
          <w:szCs w:val="28"/>
        </w:rPr>
        <w:t>白银市</w:t>
      </w:r>
      <w:r w:rsidRPr="00394BBD">
        <w:rPr>
          <w:rFonts w:ascii="仿宋" w:eastAsia="仿宋" w:hint="eastAsia"/>
          <w:sz w:val="28"/>
          <w:szCs w:val="28"/>
        </w:rPr>
        <w:t>中心向市财政上</w:t>
      </w:r>
      <w:r w:rsidR="000A111D">
        <w:rPr>
          <w:rFonts w:ascii="仿宋" w:eastAsia="仿宋" w:hint="eastAsia"/>
          <w:sz w:val="28"/>
          <w:szCs w:val="28"/>
        </w:rPr>
        <w:t>缴</w:t>
      </w:r>
      <w:r w:rsidRPr="00394BBD">
        <w:rPr>
          <w:rFonts w:ascii="仿宋" w:eastAsia="仿宋" w:hint="eastAsia"/>
          <w:sz w:val="28"/>
          <w:szCs w:val="28"/>
        </w:rPr>
        <w:t>管理费用1169万元。上缴财政城市廉租住房（公共租赁住房）建设补充资金4532.95万元。 累计提取城市廉租住房（公共租赁住房）建设补充资金35048.39万元。</w:t>
      </w:r>
    </w:p>
    <w:p w:rsidR="00F83254" w:rsidRPr="00316E63" w:rsidRDefault="00524500" w:rsidP="00C60D42">
      <w:pPr>
        <w:pStyle w:val="a6"/>
        <w:spacing w:before="0" w:beforeAutospacing="0" w:after="0" w:afterAutospacing="0" w:line="585" w:lineRule="atLeast"/>
        <w:ind w:firstLine="645"/>
        <w:rPr>
          <w:rFonts w:ascii="仿宋" w:eastAsia="仿宋" w:hAnsi="仿宋"/>
          <w:color w:val="2B2B2B"/>
          <w:sz w:val="28"/>
          <w:szCs w:val="28"/>
        </w:rPr>
      </w:pPr>
      <w:r w:rsidRPr="00316E63">
        <w:rPr>
          <w:rFonts w:ascii="仿宋" w:eastAsia="仿宋" w:hAnsi="仿宋" w:hint="eastAsia"/>
          <w:color w:val="2B2B2B"/>
          <w:sz w:val="28"/>
          <w:szCs w:val="28"/>
        </w:rPr>
        <w:t>（</w:t>
      </w:r>
      <w:r w:rsidR="00190396">
        <w:rPr>
          <w:rFonts w:ascii="仿宋" w:eastAsia="仿宋" w:hAnsi="仿宋" w:hint="eastAsia"/>
          <w:color w:val="2B2B2B"/>
          <w:sz w:val="28"/>
          <w:szCs w:val="28"/>
        </w:rPr>
        <w:t>二</w:t>
      </w:r>
      <w:r w:rsidRPr="00316E63">
        <w:rPr>
          <w:rFonts w:ascii="仿宋" w:eastAsia="仿宋" w:hAnsi="仿宋" w:hint="eastAsia"/>
          <w:color w:val="2B2B2B"/>
          <w:sz w:val="28"/>
          <w:szCs w:val="28"/>
        </w:rPr>
        <w:t>）加强信息共享，让信息多跑路。</w:t>
      </w:r>
      <w:r w:rsidR="00877E09">
        <w:rPr>
          <w:rFonts w:ascii="仿宋" w:eastAsia="仿宋" w:hAnsi="仿宋" w:hint="eastAsia"/>
          <w:color w:val="2B2B2B"/>
          <w:sz w:val="28"/>
          <w:szCs w:val="28"/>
        </w:rPr>
        <w:t>市中心</w:t>
      </w:r>
      <w:r w:rsidRPr="00316E63">
        <w:rPr>
          <w:rFonts w:ascii="仿宋" w:eastAsia="仿宋" w:hAnsi="仿宋" w:hint="eastAsia"/>
          <w:color w:val="2B2B2B"/>
          <w:sz w:val="28"/>
          <w:szCs w:val="28"/>
        </w:rPr>
        <w:t>已于</w:t>
      </w:r>
      <w:r w:rsidR="00904C03">
        <w:rPr>
          <w:rFonts w:ascii="仿宋" w:eastAsia="仿宋" w:hAnsi="仿宋" w:hint="eastAsia"/>
          <w:color w:val="2B2B2B"/>
          <w:sz w:val="28"/>
          <w:szCs w:val="28"/>
        </w:rPr>
        <w:t>2019年</w:t>
      </w:r>
      <w:r w:rsidRPr="00316E63">
        <w:rPr>
          <w:rFonts w:ascii="仿宋" w:eastAsia="仿宋" w:hAnsi="仿宋" w:hint="eastAsia"/>
          <w:color w:val="2B2B2B"/>
          <w:sz w:val="28"/>
          <w:szCs w:val="28"/>
        </w:rPr>
        <w:t>4月份成功接入住房公积金数据平台，通过数据平台实现了与税务总局的数据交换，进行个税抵扣，切实维护缴存职工的合法权益。</w:t>
      </w:r>
    </w:p>
    <w:p w:rsidR="00F83254" w:rsidRPr="00316E63" w:rsidRDefault="00524500" w:rsidP="00316E63">
      <w:pPr>
        <w:pStyle w:val="a6"/>
        <w:spacing w:before="0" w:beforeAutospacing="0" w:after="0" w:afterAutospacing="0" w:line="555" w:lineRule="atLeast"/>
        <w:ind w:firstLineChars="200" w:firstLine="560"/>
        <w:rPr>
          <w:rFonts w:ascii="仿宋" w:eastAsia="仿宋" w:hAnsi="仿宋"/>
          <w:color w:val="2B2B2B"/>
          <w:sz w:val="28"/>
          <w:szCs w:val="28"/>
        </w:rPr>
      </w:pPr>
      <w:r w:rsidRPr="00316E63">
        <w:rPr>
          <w:rFonts w:ascii="仿宋" w:eastAsia="仿宋" w:hAnsi="仿宋" w:hint="eastAsia"/>
          <w:color w:val="2B2B2B"/>
          <w:sz w:val="28"/>
          <w:szCs w:val="28"/>
        </w:rPr>
        <w:t>（</w:t>
      </w:r>
      <w:r w:rsidR="00190396">
        <w:rPr>
          <w:rFonts w:ascii="仿宋" w:eastAsia="仿宋" w:hAnsi="仿宋" w:hint="eastAsia"/>
          <w:color w:val="2B2B2B"/>
          <w:sz w:val="28"/>
          <w:szCs w:val="28"/>
        </w:rPr>
        <w:t>三</w:t>
      </w:r>
      <w:r w:rsidRPr="00316E63">
        <w:rPr>
          <w:rFonts w:ascii="仿宋" w:eastAsia="仿宋" w:hAnsi="仿宋" w:hint="eastAsia"/>
          <w:color w:val="2B2B2B"/>
          <w:sz w:val="28"/>
          <w:szCs w:val="28"/>
        </w:rPr>
        <w:t>）发展“互联网+公积金”模式，提升线上业务办理量。我中心住房公积金综合管理服务平台</w:t>
      </w:r>
      <w:r w:rsidR="00904C03">
        <w:rPr>
          <w:rFonts w:ascii="仿宋" w:eastAsia="仿宋" w:hAnsi="仿宋" w:hint="eastAsia"/>
          <w:color w:val="2B2B2B"/>
          <w:sz w:val="28"/>
          <w:szCs w:val="28"/>
        </w:rPr>
        <w:t>2019年</w:t>
      </w:r>
      <w:r w:rsidRPr="00316E63">
        <w:rPr>
          <w:rFonts w:ascii="仿宋" w:eastAsia="仿宋" w:hAnsi="仿宋" w:hint="eastAsia"/>
          <w:color w:val="2B2B2B"/>
          <w:sz w:val="28"/>
          <w:szCs w:val="28"/>
        </w:rPr>
        <w:t>10月份通过住建部、</w:t>
      </w:r>
      <w:proofErr w:type="gramStart"/>
      <w:r w:rsidRPr="00316E63">
        <w:rPr>
          <w:rFonts w:ascii="仿宋" w:eastAsia="仿宋" w:hAnsi="仿宋" w:hint="eastAsia"/>
          <w:color w:val="2B2B2B"/>
          <w:sz w:val="28"/>
          <w:szCs w:val="28"/>
        </w:rPr>
        <w:t>省住</w:t>
      </w:r>
      <w:r w:rsidRPr="00316E63">
        <w:rPr>
          <w:rFonts w:ascii="仿宋" w:eastAsia="仿宋" w:hAnsi="仿宋" w:hint="eastAsia"/>
          <w:color w:val="2B2B2B"/>
          <w:sz w:val="28"/>
          <w:szCs w:val="28"/>
        </w:rPr>
        <w:lastRenderedPageBreak/>
        <w:t>建</w:t>
      </w:r>
      <w:proofErr w:type="gramEnd"/>
      <w:r w:rsidRPr="00316E63">
        <w:rPr>
          <w:rFonts w:ascii="仿宋" w:eastAsia="仿宋" w:hAnsi="仿宋" w:hint="eastAsia"/>
          <w:color w:val="2B2B2B"/>
          <w:sz w:val="28"/>
          <w:szCs w:val="28"/>
        </w:rPr>
        <w:t>厅的验收，同时完成了白银市住房公积金管理</w:t>
      </w:r>
      <w:proofErr w:type="gramStart"/>
      <w:r w:rsidRPr="00316E63">
        <w:rPr>
          <w:rFonts w:ascii="仿宋" w:eastAsia="仿宋" w:hAnsi="仿宋" w:hint="eastAsia"/>
          <w:color w:val="2B2B2B"/>
          <w:sz w:val="28"/>
          <w:szCs w:val="28"/>
        </w:rPr>
        <w:t>中心官网改版</w:t>
      </w:r>
      <w:proofErr w:type="gramEnd"/>
      <w:r w:rsidRPr="00316E63">
        <w:rPr>
          <w:rFonts w:ascii="仿宋" w:eastAsia="仿宋" w:hAnsi="仿宋" w:hint="eastAsia"/>
          <w:color w:val="2B2B2B"/>
          <w:sz w:val="28"/>
          <w:szCs w:val="28"/>
        </w:rPr>
        <w:t>，实现了信息查询、信息发布和互动交流等线上服务，缴存、提取</w:t>
      </w:r>
      <w:r w:rsidR="00904C03" w:rsidRPr="00316E63">
        <w:rPr>
          <w:rFonts w:ascii="仿宋" w:eastAsia="仿宋" w:hAnsi="仿宋" w:hint="eastAsia"/>
          <w:color w:val="2B2B2B"/>
          <w:sz w:val="28"/>
          <w:szCs w:val="28"/>
        </w:rPr>
        <w:t>实现了线上</w:t>
      </w:r>
      <w:r w:rsidR="00904C03">
        <w:rPr>
          <w:rFonts w:ascii="仿宋" w:eastAsia="仿宋" w:hAnsi="仿宋" w:hint="eastAsia"/>
          <w:color w:val="2B2B2B"/>
          <w:sz w:val="28"/>
          <w:szCs w:val="28"/>
        </w:rPr>
        <w:t>办理，</w:t>
      </w:r>
      <w:r w:rsidRPr="00316E63">
        <w:rPr>
          <w:rFonts w:ascii="仿宋" w:eastAsia="仿宋" w:hAnsi="仿宋" w:hint="eastAsia"/>
          <w:color w:val="2B2B2B"/>
          <w:sz w:val="28"/>
          <w:szCs w:val="28"/>
        </w:rPr>
        <w:t>贷款</w:t>
      </w:r>
      <w:r w:rsidR="00904C03">
        <w:rPr>
          <w:rFonts w:ascii="仿宋" w:eastAsia="仿宋" w:hAnsi="仿宋" w:hint="eastAsia"/>
          <w:color w:val="2B2B2B"/>
          <w:sz w:val="28"/>
          <w:szCs w:val="28"/>
        </w:rPr>
        <w:t>实现了线上申请</w:t>
      </w:r>
      <w:r w:rsidRPr="00316E63">
        <w:rPr>
          <w:rFonts w:ascii="仿宋" w:eastAsia="仿宋" w:hAnsi="仿宋" w:hint="eastAsia"/>
          <w:color w:val="2B2B2B"/>
          <w:sz w:val="28"/>
          <w:szCs w:val="28"/>
        </w:rPr>
        <w:t>。</w:t>
      </w:r>
      <w:r w:rsidR="00976D67" w:rsidRPr="00316E63">
        <w:rPr>
          <w:rFonts w:ascii="仿宋" w:eastAsia="仿宋" w:hAnsi="仿宋" w:hint="eastAsia"/>
          <w:color w:val="2B2B2B"/>
          <w:sz w:val="28"/>
          <w:szCs w:val="28"/>
        </w:rPr>
        <w:t>2016年7月12日</w:t>
      </w:r>
      <w:proofErr w:type="gramStart"/>
      <w:r w:rsidR="00976D67" w:rsidRPr="00316E63">
        <w:rPr>
          <w:rFonts w:ascii="仿宋" w:eastAsia="仿宋" w:hAnsi="仿宋" w:hint="eastAsia"/>
          <w:color w:val="2B2B2B"/>
          <w:sz w:val="28"/>
          <w:szCs w:val="28"/>
        </w:rPr>
        <w:t>开通微信公众号</w:t>
      </w:r>
      <w:proofErr w:type="gramEnd"/>
      <w:r w:rsidR="00976D67">
        <w:rPr>
          <w:rFonts w:ascii="仿宋" w:eastAsia="仿宋" w:hAnsi="仿宋" w:hint="eastAsia"/>
          <w:color w:val="2B2B2B"/>
          <w:sz w:val="28"/>
          <w:szCs w:val="28"/>
        </w:rPr>
        <w:t>，缴存职工可</w:t>
      </w:r>
      <w:r w:rsidR="00976D67" w:rsidRPr="00316E63">
        <w:rPr>
          <w:rFonts w:ascii="仿宋" w:eastAsia="仿宋" w:hAnsi="仿宋" w:hint="eastAsia"/>
          <w:color w:val="2B2B2B"/>
          <w:sz w:val="28"/>
          <w:szCs w:val="28"/>
        </w:rPr>
        <w:t>及时</w:t>
      </w:r>
      <w:r w:rsidR="00976D67">
        <w:rPr>
          <w:rFonts w:ascii="仿宋" w:eastAsia="仿宋" w:hAnsi="仿宋" w:hint="eastAsia"/>
          <w:color w:val="2B2B2B"/>
          <w:sz w:val="28"/>
          <w:szCs w:val="28"/>
        </w:rPr>
        <w:t>查询个人公积金账户及贷款账户的变动信息，了解</w:t>
      </w:r>
      <w:r w:rsidR="00976D67" w:rsidRPr="00316E63">
        <w:rPr>
          <w:rFonts w:ascii="仿宋" w:eastAsia="仿宋" w:hAnsi="仿宋" w:hint="eastAsia"/>
          <w:color w:val="2B2B2B"/>
          <w:sz w:val="28"/>
          <w:szCs w:val="28"/>
        </w:rPr>
        <w:t>最新的住房公积金服务信息和政策，得到了社会的高度关注，多次被白银发布、掌上白银等公共媒体关注并转发。</w:t>
      </w:r>
    </w:p>
    <w:p w:rsidR="00F83254" w:rsidRPr="00316E63" w:rsidRDefault="00524500">
      <w:pPr>
        <w:pStyle w:val="a6"/>
        <w:spacing w:before="0" w:beforeAutospacing="0" w:after="0" w:afterAutospacing="0" w:line="555" w:lineRule="atLeast"/>
        <w:jc w:val="center"/>
        <w:rPr>
          <w:rFonts w:ascii="仿宋" w:eastAsia="仿宋" w:hAnsi="仿宋"/>
          <w:color w:val="2B2B2B"/>
          <w:sz w:val="28"/>
          <w:szCs w:val="28"/>
        </w:rPr>
      </w:pPr>
      <w:r w:rsidRPr="00316E63">
        <w:rPr>
          <w:rFonts w:ascii="仿宋" w:eastAsia="仿宋" w:hAnsi="仿宋"/>
          <w:noProof/>
          <w:sz w:val="28"/>
          <w:szCs w:val="28"/>
        </w:rPr>
        <w:drawing>
          <wp:inline distT="0" distB="0" distL="114300" distR="114300">
            <wp:extent cx="4700905" cy="2190750"/>
            <wp:effectExtent l="19050" t="0" r="23495" b="0"/>
            <wp:docPr id="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16E63" w:rsidRPr="000F1DC4" w:rsidRDefault="00C166B2" w:rsidP="000F1DC4">
      <w:pPr>
        <w:spacing w:line="560" w:lineRule="atLeast"/>
        <w:ind w:firstLineChars="200" w:firstLine="562"/>
        <w:rPr>
          <w:rFonts w:ascii="仿宋" w:eastAsia="仿宋" w:hAnsi="仿宋"/>
          <w:b/>
          <w:sz w:val="28"/>
          <w:szCs w:val="28"/>
        </w:rPr>
      </w:pPr>
      <w:r>
        <w:rPr>
          <w:rFonts w:ascii="仿宋" w:eastAsia="仿宋" w:hAnsi="仿宋" w:hint="eastAsia"/>
          <w:b/>
          <w:sz w:val="28"/>
          <w:szCs w:val="28"/>
        </w:rPr>
        <w:t>六</w:t>
      </w:r>
      <w:r w:rsidR="00316E63" w:rsidRPr="000F1DC4">
        <w:rPr>
          <w:rFonts w:ascii="仿宋" w:eastAsia="仿宋" w:hAnsi="仿宋" w:hint="eastAsia"/>
          <w:b/>
          <w:sz w:val="28"/>
          <w:szCs w:val="28"/>
        </w:rPr>
        <w:t>、信息披露相关指标解释</w:t>
      </w:r>
    </w:p>
    <w:p w:rsidR="00316E63" w:rsidRPr="00190396" w:rsidRDefault="00316E63" w:rsidP="00190396">
      <w:pPr>
        <w:spacing w:line="560" w:lineRule="atLeast"/>
        <w:ind w:firstLineChars="200" w:firstLine="562"/>
        <w:rPr>
          <w:rFonts w:ascii="仿宋" w:eastAsia="仿宋" w:hAnsi="仿宋" w:cs="Arial"/>
          <w:sz w:val="28"/>
          <w:szCs w:val="28"/>
        </w:rPr>
      </w:pPr>
      <w:r w:rsidRPr="00190396">
        <w:rPr>
          <w:rFonts w:ascii="仿宋" w:eastAsia="仿宋" w:hAnsi="仿宋" w:cs="Arial" w:hint="eastAsia"/>
          <w:b/>
          <w:sz w:val="28"/>
          <w:szCs w:val="28"/>
        </w:rPr>
        <w:t>（一）缴存职工按收入水平分类：</w:t>
      </w:r>
      <w:r w:rsidRPr="00190396">
        <w:rPr>
          <w:rFonts w:ascii="仿宋" w:eastAsia="仿宋" w:hAnsi="仿宋" w:cs="Arial" w:hint="eastAsia"/>
          <w:sz w:val="28"/>
          <w:szCs w:val="28"/>
        </w:rPr>
        <w:t>低收入是指收入低于上年当地社会平均工资，中等收入是指收入介于上年当地社会平均工资1倍（含）-3倍之间，高收入是指收入高于上年当地社会平均工资3倍（含）。例如201</w:t>
      </w:r>
      <w:r w:rsidR="000F1DC4">
        <w:rPr>
          <w:rFonts w:ascii="仿宋" w:eastAsia="仿宋" w:hAnsi="仿宋" w:cs="Arial" w:hint="eastAsia"/>
          <w:sz w:val="28"/>
          <w:szCs w:val="28"/>
        </w:rPr>
        <w:t>9</w:t>
      </w:r>
      <w:r w:rsidRPr="00190396">
        <w:rPr>
          <w:rFonts w:ascii="仿宋" w:eastAsia="仿宋" w:hAnsi="仿宋" w:cs="Arial" w:hint="eastAsia"/>
          <w:sz w:val="28"/>
          <w:szCs w:val="28"/>
        </w:rPr>
        <w:t>年度职工月平均工资为5272.5元，那么低于5272.5元为低收入；5272.5元—15817元为中等收入；</w:t>
      </w:r>
      <w:r w:rsidR="00904C03" w:rsidRPr="00190396">
        <w:rPr>
          <w:rFonts w:ascii="仿宋" w:eastAsia="仿宋" w:hAnsi="仿宋" w:cs="Arial" w:hint="eastAsia"/>
          <w:sz w:val="28"/>
          <w:szCs w:val="28"/>
        </w:rPr>
        <w:t xml:space="preserve"> </w:t>
      </w:r>
      <w:r w:rsidRPr="00190396">
        <w:rPr>
          <w:rFonts w:ascii="仿宋" w:eastAsia="仿宋" w:hAnsi="仿宋" w:cs="Arial" w:hint="eastAsia"/>
          <w:sz w:val="28"/>
          <w:szCs w:val="28"/>
        </w:rPr>
        <w:t>15817元及以上为高收入。</w:t>
      </w:r>
    </w:p>
    <w:p w:rsidR="00316E63" w:rsidRPr="00190396" w:rsidRDefault="00316E63" w:rsidP="00190396">
      <w:pPr>
        <w:spacing w:line="560" w:lineRule="atLeast"/>
        <w:ind w:firstLineChars="200" w:firstLine="562"/>
        <w:rPr>
          <w:rFonts w:ascii="仿宋" w:eastAsia="仿宋" w:hAnsi="仿宋" w:cs="Arial"/>
          <w:sz w:val="28"/>
          <w:szCs w:val="28"/>
        </w:rPr>
      </w:pPr>
      <w:r w:rsidRPr="00190396">
        <w:rPr>
          <w:rFonts w:ascii="仿宋" w:eastAsia="仿宋" w:hAnsi="仿宋" w:cs="Arial" w:hint="eastAsia"/>
          <w:b/>
          <w:sz w:val="28"/>
          <w:szCs w:val="28"/>
        </w:rPr>
        <w:t>（二）</w:t>
      </w:r>
      <w:proofErr w:type="gramStart"/>
      <w:r w:rsidRPr="00190396">
        <w:rPr>
          <w:rFonts w:ascii="仿宋" w:eastAsia="仿宋" w:hAnsi="仿宋" w:hint="eastAsia"/>
          <w:b/>
          <w:sz w:val="28"/>
          <w:szCs w:val="28"/>
        </w:rPr>
        <w:t>个</w:t>
      </w:r>
      <w:proofErr w:type="gramEnd"/>
      <w:r w:rsidRPr="00190396">
        <w:rPr>
          <w:rFonts w:ascii="仿宋" w:eastAsia="仿宋" w:hAnsi="仿宋" w:hint="eastAsia"/>
          <w:b/>
          <w:sz w:val="28"/>
          <w:szCs w:val="28"/>
        </w:rPr>
        <w:t>贷率：</w:t>
      </w:r>
      <w:r w:rsidRPr="00190396">
        <w:rPr>
          <w:rFonts w:ascii="仿宋" w:eastAsia="仿宋" w:hAnsi="仿宋" w:cs="Arial" w:hint="eastAsia"/>
          <w:sz w:val="28"/>
          <w:szCs w:val="28"/>
        </w:rPr>
        <w:t>指年度</w:t>
      </w:r>
      <w:proofErr w:type="gramStart"/>
      <w:r w:rsidRPr="00190396">
        <w:rPr>
          <w:rFonts w:ascii="仿宋" w:eastAsia="仿宋" w:hAnsi="仿宋" w:cs="Arial" w:hint="eastAsia"/>
          <w:sz w:val="28"/>
          <w:szCs w:val="28"/>
        </w:rPr>
        <w:t>末个人</w:t>
      </w:r>
      <w:proofErr w:type="gramEnd"/>
      <w:r w:rsidRPr="00190396">
        <w:rPr>
          <w:rFonts w:ascii="仿宋" w:eastAsia="仿宋" w:hAnsi="仿宋" w:cs="Arial" w:hint="eastAsia"/>
          <w:sz w:val="28"/>
          <w:szCs w:val="28"/>
        </w:rPr>
        <w:t>住房贷款余额占年度</w:t>
      </w:r>
      <w:proofErr w:type="gramStart"/>
      <w:r w:rsidRPr="00190396">
        <w:rPr>
          <w:rFonts w:ascii="仿宋" w:eastAsia="仿宋" w:hAnsi="仿宋" w:cs="Arial" w:hint="eastAsia"/>
          <w:sz w:val="28"/>
          <w:szCs w:val="28"/>
        </w:rPr>
        <w:t>末住房</w:t>
      </w:r>
      <w:proofErr w:type="gramEnd"/>
      <w:r w:rsidRPr="00190396">
        <w:rPr>
          <w:rFonts w:ascii="仿宋" w:eastAsia="仿宋" w:hAnsi="仿宋" w:cs="Arial" w:hint="eastAsia"/>
          <w:sz w:val="28"/>
          <w:szCs w:val="28"/>
        </w:rPr>
        <w:t>公积金缴存余额的比率。</w:t>
      </w:r>
    </w:p>
    <w:p w:rsidR="00316E63" w:rsidRPr="00190396" w:rsidRDefault="00316E63" w:rsidP="00190396">
      <w:pPr>
        <w:spacing w:line="560" w:lineRule="atLeast"/>
        <w:ind w:firstLineChars="147" w:firstLine="413"/>
        <w:rPr>
          <w:rFonts w:ascii="仿宋" w:eastAsia="仿宋" w:hAnsi="仿宋"/>
          <w:sz w:val="28"/>
          <w:szCs w:val="28"/>
        </w:rPr>
      </w:pPr>
      <w:r w:rsidRPr="00190396">
        <w:rPr>
          <w:rFonts w:ascii="仿宋" w:eastAsia="仿宋" w:hAnsi="仿宋" w:hint="eastAsia"/>
          <w:b/>
          <w:sz w:val="28"/>
          <w:szCs w:val="28"/>
        </w:rPr>
        <w:t>（三）个人住房贷款支持职工购建房面积：</w:t>
      </w:r>
      <w:r w:rsidRPr="00190396">
        <w:rPr>
          <w:rFonts w:ascii="仿宋" w:eastAsia="仿宋" w:hAnsi="仿宋" w:hint="eastAsia"/>
          <w:sz w:val="28"/>
          <w:szCs w:val="28"/>
        </w:rPr>
        <w:t>指利用住房公积金个</w:t>
      </w:r>
      <w:r w:rsidRPr="00190396">
        <w:rPr>
          <w:rFonts w:ascii="仿宋" w:eastAsia="仿宋" w:hAnsi="仿宋" w:hint="eastAsia"/>
          <w:sz w:val="28"/>
          <w:szCs w:val="28"/>
        </w:rPr>
        <w:lastRenderedPageBreak/>
        <w:t>人住房贷款支持职工购买（建造）住房的建筑面积。</w:t>
      </w:r>
    </w:p>
    <w:p w:rsidR="00316E63" w:rsidRPr="00190396" w:rsidRDefault="00316E63" w:rsidP="00190396">
      <w:pPr>
        <w:spacing w:line="560" w:lineRule="atLeast"/>
        <w:ind w:firstLineChars="147" w:firstLine="413"/>
        <w:rPr>
          <w:rFonts w:ascii="仿宋" w:eastAsia="仿宋" w:hAnsi="仿宋"/>
          <w:sz w:val="28"/>
          <w:szCs w:val="28"/>
        </w:rPr>
      </w:pPr>
      <w:bookmarkStart w:id="0" w:name="_GoBack"/>
      <w:bookmarkEnd w:id="0"/>
      <w:r w:rsidRPr="00190396">
        <w:rPr>
          <w:rFonts w:ascii="仿宋" w:eastAsia="仿宋" w:hAnsi="仿宋" w:hint="eastAsia"/>
          <w:b/>
          <w:sz w:val="28"/>
          <w:szCs w:val="28"/>
        </w:rPr>
        <w:t>（四）可节约职工购房利息支出：</w:t>
      </w:r>
      <w:r w:rsidRPr="00190396">
        <w:rPr>
          <w:rFonts w:ascii="仿宋" w:eastAsia="仿宋" w:hAnsi="仿宋" w:hint="eastAsia"/>
          <w:sz w:val="28"/>
          <w:szCs w:val="28"/>
        </w:rPr>
        <w:t>指当年获得住房公积金个人住房贷款的职工所需支付贷款利息总额与申请商业性个人住房贷款所需支付贷款利息总额的差额。商业性个人住房贷款利率按基准利率计算。</w:t>
      </w:r>
    </w:p>
    <w:p w:rsidR="00316E63" w:rsidRPr="00190396" w:rsidRDefault="00316E63" w:rsidP="00190396">
      <w:pPr>
        <w:spacing w:line="560" w:lineRule="atLeast"/>
        <w:ind w:firstLineChars="147" w:firstLine="413"/>
        <w:rPr>
          <w:rFonts w:ascii="仿宋" w:eastAsia="仿宋" w:hAnsi="仿宋"/>
          <w:sz w:val="28"/>
          <w:szCs w:val="28"/>
        </w:rPr>
      </w:pPr>
      <w:r w:rsidRPr="00190396">
        <w:rPr>
          <w:rFonts w:ascii="仿宋" w:eastAsia="仿宋" w:hAnsi="仿宋" w:hint="eastAsia"/>
          <w:b/>
          <w:sz w:val="28"/>
          <w:szCs w:val="28"/>
        </w:rPr>
        <w:t>（五）个人住房贷款市场占有率：</w:t>
      </w:r>
      <w:r w:rsidRPr="00190396">
        <w:rPr>
          <w:rFonts w:ascii="仿宋" w:eastAsia="仿宋" w:hAnsi="仿宋" w:hint="eastAsia"/>
          <w:sz w:val="28"/>
          <w:szCs w:val="28"/>
        </w:rPr>
        <w:t>年度</w:t>
      </w:r>
      <w:proofErr w:type="gramStart"/>
      <w:r w:rsidRPr="00190396">
        <w:rPr>
          <w:rFonts w:ascii="仿宋" w:eastAsia="仿宋" w:hAnsi="仿宋" w:hint="eastAsia"/>
          <w:sz w:val="28"/>
          <w:szCs w:val="28"/>
        </w:rPr>
        <w:t>末住房</w:t>
      </w:r>
      <w:proofErr w:type="gramEnd"/>
      <w:r w:rsidRPr="00190396">
        <w:rPr>
          <w:rFonts w:ascii="仿宋" w:eastAsia="仿宋" w:hAnsi="仿宋" w:hint="eastAsia"/>
          <w:sz w:val="28"/>
          <w:szCs w:val="28"/>
        </w:rPr>
        <w:t>公积金个人住房贷款余额占当地商业性和住房公积金个人住房贷款余额总和的比率。</w:t>
      </w:r>
    </w:p>
    <w:p w:rsidR="00316E63" w:rsidRPr="00190396" w:rsidRDefault="00316E63" w:rsidP="00190396">
      <w:pPr>
        <w:spacing w:line="560" w:lineRule="atLeast"/>
        <w:ind w:firstLineChars="147" w:firstLine="413"/>
        <w:rPr>
          <w:rFonts w:ascii="仿宋" w:eastAsia="仿宋" w:hAnsi="仿宋" w:cs="Arial"/>
          <w:sz w:val="28"/>
          <w:szCs w:val="28"/>
        </w:rPr>
      </w:pPr>
      <w:r w:rsidRPr="00190396">
        <w:rPr>
          <w:rFonts w:ascii="仿宋" w:eastAsia="仿宋" w:hAnsi="仿宋" w:cs="Arial" w:hint="eastAsia"/>
          <w:b/>
          <w:sz w:val="28"/>
          <w:szCs w:val="28"/>
        </w:rPr>
        <w:t>（六）个人住房贷款逾期额：</w:t>
      </w:r>
      <w:r w:rsidRPr="00190396">
        <w:rPr>
          <w:rFonts w:ascii="仿宋" w:eastAsia="仿宋" w:hAnsi="仿宋" w:cs="Arial" w:hint="eastAsia"/>
          <w:sz w:val="28"/>
          <w:szCs w:val="28"/>
        </w:rPr>
        <w:t>指截至年度末借款合同约定到期3个月（含）以上、6个月（不含）以内应还未还贷款本金额与合同约定到期6个月（含）以上未归还贷款的本金余额之</w:t>
      </w:r>
      <w:proofErr w:type="gramStart"/>
      <w:r w:rsidRPr="00190396">
        <w:rPr>
          <w:rFonts w:ascii="仿宋" w:eastAsia="仿宋" w:hAnsi="仿宋" w:cs="Arial" w:hint="eastAsia"/>
          <w:sz w:val="28"/>
          <w:szCs w:val="28"/>
        </w:rPr>
        <w:t>和</w:t>
      </w:r>
      <w:proofErr w:type="gramEnd"/>
      <w:r w:rsidRPr="00190396">
        <w:rPr>
          <w:rFonts w:ascii="仿宋" w:eastAsia="仿宋" w:hAnsi="仿宋" w:cs="Arial" w:hint="eastAsia"/>
          <w:sz w:val="28"/>
          <w:szCs w:val="28"/>
        </w:rPr>
        <w:t>。</w:t>
      </w:r>
    </w:p>
    <w:p w:rsidR="00316E63" w:rsidRPr="00190396" w:rsidRDefault="00316E63" w:rsidP="00190396">
      <w:pPr>
        <w:spacing w:line="560" w:lineRule="atLeast"/>
        <w:ind w:firstLineChars="147" w:firstLine="413"/>
        <w:rPr>
          <w:rFonts w:ascii="仿宋" w:eastAsia="仿宋" w:hAnsi="仿宋" w:cs="Arial"/>
          <w:sz w:val="28"/>
          <w:szCs w:val="28"/>
        </w:rPr>
      </w:pPr>
      <w:r w:rsidRPr="00190396">
        <w:rPr>
          <w:rFonts w:ascii="仿宋" w:eastAsia="仿宋" w:hAnsi="仿宋" w:cs="Arial" w:hint="eastAsia"/>
          <w:b/>
          <w:sz w:val="28"/>
          <w:szCs w:val="28"/>
        </w:rPr>
        <w:t>（七）</w:t>
      </w:r>
      <w:r w:rsidR="00976D67">
        <w:rPr>
          <w:rFonts w:ascii="仿宋" w:eastAsia="仿宋" w:hAnsi="仿宋" w:cs="Arial" w:hint="eastAsia"/>
          <w:b/>
          <w:sz w:val="28"/>
          <w:szCs w:val="28"/>
        </w:rPr>
        <w:t>当年异地贷款的发放额</w:t>
      </w:r>
      <w:r w:rsidRPr="00190396">
        <w:rPr>
          <w:rFonts w:ascii="仿宋" w:eastAsia="仿宋" w:hAnsi="仿宋" w:cs="Arial" w:hint="eastAsia"/>
          <w:b/>
          <w:sz w:val="28"/>
          <w:szCs w:val="28"/>
        </w:rPr>
        <w:t>：</w:t>
      </w:r>
      <w:r w:rsidRPr="00190396">
        <w:rPr>
          <w:rFonts w:ascii="仿宋" w:eastAsia="仿宋" w:hAnsi="仿宋" w:cs="Arial" w:hint="eastAsia"/>
          <w:sz w:val="28"/>
          <w:szCs w:val="28"/>
        </w:rPr>
        <w:t>指</w:t>
      </w:r>
      <w:r w:rsidR="00976D67">
        <w:rPr>
          <w:rFonts w:ascii="仿宋" w:eastAsia="仿宋" w:hAnsi="仿宋" w:cs="Arial" w:hint="eastAsia"/>
          <w:sz w:val="28"/>
          <w:szCs w:val="28"/>
        </w:rPr>
        <w:t>当年对缴存和购房行为不在同一城市的职工所发放的住房公积金个人住房贷款金额，包括用本市资金为在本市购房的外地缴存职工发放的贷款以及为在外地购房的本市缴存职工发放的贷款</w:t>
      </w:r>
      <w:r w:rsidRPr="00190396">
        <w:rPr>
          <w:rFonts w:ascii="仿宋" w:eastAsia="仿宋" w:hAnsi="仿宋" w:cs="Arial" w:hint="eastAsia"/>
          <w:sz w:val="28"/>
          <w:szCs w:val="28"/>
        </w:rPr>
        <w:t xml:space="preserve">。 </w:t>
      </w:r>
    </w:p>
    <w:p w:rsidR="00316E63" w:rsidRPr="00190396" w:rsidRDefault="00316E63" w:rsidP="00190396">
      <w:pPr>
        <w:spacing w:line="560" w:lineRule="atLeast"/>
        <w:ind w:firstLineChars="147" w:firstLine="413"/>
        <w:rPr>
          <w:rFonts w:ascii="仿宋" w:eastAsia="仿宋" w:hAnsi="仿宋" w:cs="Arial"/>
          <w:sz w:val="28"/>
          <w:szCs w:val="28"/>
        </w:rPr>
      </w:pPr>
      <w:r w:rsidRPr="00190396">
        <w:rPr>
          <w:rFonts w:ascii="仿宋" w:eastAsia="仿宋" w:hAnsi="仿宋" w:cs="Arial" w:hint="eastAsia"/>
          <w:b/>
          <w:sz w:val="28"/>
          <w:szCs w:val="28"/>
        </w:rPr>
        <w:t>（八）增值收益率：</w:t>
      </w:r>
      <w:r w:rsidRPr="00190396">
        <w:rPr>
          <w:rFonts w:ascii="仿宋" w:eastAsia="仿宋" w:hAnsi="仿宋" w:cs="Arial" w:hint="eastAsia"/>
          <w:sz w:val="28"/>
          <w:szCs w:val="28"/>
        </w:rPr>
        <w:t>指增值收益与月均缴存余额的比率。月均缴存余额指当年内各月末住房公积金累计缴存余额之和除以12。</w:t>
      </w:r>
    </w:p>
    <w:p w:rsidR="00316E63" w:rsidRPr="00190396" w:rsidRDefault="00316E63" w:rsidP="00190396">
      <w:pPr>
        <w:spacing w:line="560" w:lineRule="atLeast"/>
        <w:ind w:firstLineChars="147" w:firstLine="412"/>
        <w:rPr>
          <w:rFonts w:ascii="仿宋" w:eastAsia="仿宋" w:hAnsi="仿宋" w:cs="Arial"/>
          <w:sz w:val="28"/>
          <w:szCs w:val="28"/>
        </w:rPr>
      </w:pPr>
      <w:r w:rsidRPr="00190396">
        <w:rPr>
          <w:rFonts w:ascii="仿宋" w:eastAsia="仿宋" w:hAnsi="仿宋" w:cs="Arial" w:hint="eastAsia"/>
          <w:sz w:val="28"/>
          <w:szCs w:val="28"/>
        </w:rPr>
        <w:t>《年报》解读最终由白银市住房公积金管理中心负责解释。</w:t>
      </w:r>
    </w:p>
    <w:sectPr w:rsidR="00316E63" w:rsidRPr="00190396" w:rsidSect="00F83254">
      <w:footerReference w:type="default" r:id="rId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8C2" w:rsidRDefault="00FD78C2" w:rsidP="00240B28">
      <w:r>
        <w:separator/>
      </w:r>
    </w:p>
  </w:endnote>
  <w:endnote w:type="continuationSeparator" w:id="0">
    <w:p w:rsidR="00FD78C2" w:rsidRDefault="00FD78C2" w:rsidP="00240B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altName w:val="宋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7652813"/>
      <w:docPartObj>
        <w:docPartGallery w:val="Page Numbers (Bottom of Page)"/>
        <w:docPartUnique/>
      </w:docPartObj>
    </w:sdtPr>
    <w:sdtContent>
      <w:p w:rsidR="00394BBD" w:rsidRDefault="0091730B">
        <w:pPr>
          <w:pStyle w:val="a4"/>
          <w:jc w:val="right"/>
        </w:pPr>
        <w:fldSimple w:instr=" PAGE   \* MERGEFORMAT ">
          <w:r w:rsidR="00B97C55" w:rsidRPr="00B97C55">
            <w:rPr>
              <w:noProof/>
              <w:lang w:val="zh-CN"/>
            </w:rPr>
            <w:t>2</w:t>
          </w:r>
        </w:fldSimple>
      </w:p>
    </w:sdtContent>
  </w:sdt>
  <w:p w:rsidR="00394BBD" w:rsidRDefault="00394BB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8C2" w:rsidRDefault="00FD78C2" w:rsidP="00240B28">
      <w:r>
        <w:separator/>
      </w:r>
    </w:p>
  </w:footnote>
  <w:footnote w:type="continuationSeparator" w:id="0">
    <w:p w:rsidR="00FD78C2" w:rsidRDefault="00FD78C2" w:rsidP="00240B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43B126"/>
    <w:multiLevelType w:val="singleLevel"/>
    <w:tmpl w:val="9943B126"/>
    <w:lvl w:ilvl="0">
      <w:start w:val="1"/>
      <w:numFmt w:val="chineseCounting"/>
      <w:suff w:val="nothing"/>
      <w:lvlText w:val="（%1）"/>
      <w:lvlJc w:val="left"/>
      <w:rPr>
        <w:rFonts w:hint="eastAsia"/>
      </w:rPr>
    </w:lvl>
  </w:abstractNum>
  <w:abstractNum w:abstractNumId="1">
    <w:nsid w:val="9F006194"/>
    <w:multiLevelType w:val="singleLevel"/>
    <w:tmpl w:val="9F006194"/>
    <w:lvl w:ilvl="0">
      <w:start w:val="3"/>
      <w:numFmt w:val="chineseCounting"/>
      <w:suff w:val="nothing"/>
      <w:lvlText w:val="（%1）"/>
      <w:lvlJc w:val="left"/>
      <w:rPr>
        <w:rFonts w:hint="eastAsia"/>
      </w:rPr>
    </w:lvl>
  </w:abstractNum>
  <w:abstractNum w:abstractNumId="2">
    <w:nsid w:val="A482ADCA"/>
    <w:multiLevelType w:val="singleLevel"/>
    <w:tmpl w:val="A482ADCA"/>
    <w:lvl w:ilvl="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56EA4"/>
    <w:rsid w:val="000008B7"/>
    <w:rsid w:val="00006575"/>
    <w:rsid w:val="00021973"/>
    <w:rsid w:val="0003138C"/>
    <w:rsid w:val="00036561"/>
    <w:rsid w:val="000613B5"/>
    <w:rsid w:val="000836F4"/>
    <w:rsid w:val="000A111D"/>
    <w:rsid w:val="000C7301"/>
    <w:rsid w:val="000F1DC4"/>
    <w:rsid w:val="00112618"/>
    <w:rsid w:val="001317A1"/>
    <w:rsid w:val="00164938"/>
    <w:rsid w:val="00190396"/>
    <w:rsid w:val="001F6C4E"/>
    <w:rsid w:val="00217FE7"/>
    <w:rsid w:val="00240B28"/>
    <w:rsid w:val="00246DDB"/>
    <w:rsid w:val="002E000E"/>
    <w:rsid w:val="00316E63"/>
    <w:rsid w:val="00324C82"/>
    <w:rsid w:val="00384135"/>
    <w:rsid w:val="00394BBD"/>
    <w:rsid w:val="003A6D67"/>
    <w:rsid w:val="004418C2"/>
    <w:rsid w:val="004F5F9C"/>
    <w:rsid w:val="005234FF"/>
    <w:rsid w:val="00524500"/>
    <w:rsid w:val="00527086"/>
    <w:rsid w:val="005442A7"/>
    <w:rsid w:val="00560F74"/>
    <w:rsid w:val="005656F6"/>
    <w:rsid w:val="00575064"/>
    <w:rsid w:val="005F262A"/>
    <w:rsid w:val="00641487"/>
    <w:rsid w:val="006C1F89"/>
    <w:rsid w:val="007366A8"/>
    <w:rsid w:val="00755FE5"/>
    <w:rsid w:val="0078413E"/>
    <w:rsid w:val="007E1AF0"/>
    <w:rsid w:val="00855E7B"/>
    <w:rsid w:val="00877E09"/>
    <w:rsid w:val="008D288D"/>
    <w:rsid w:val="00904C03"/>
    <w:rsid w:val="009109A4"/>
    <w:rsid w:val="0091730B"/>
    <w:rsid w:val="00943A86"/>
    <w:rsid w:val="00951291"/>
    <w:rsid w:val="00976D67"/>
    <w:rsid w:val="009D13D0"/>
    <w:rsid w:val="00A9011D"/>
    <w:rsid w:val="00A97276"/>
    <w:rsid w:val="00AD1FBB"/>
    <w:rsid w:val="00B33E7E"/>
    <w:rsid w:val="00B81BF5"/>
    <w:rsid w:val="00B97C55"/>
    <w:rsid w:val="00BF3F3C"/>
    <w:rsid w:val="00C1554D"/>
    <w:rsid w:val="00C166B2"/>
    <w:rsid w:val="00C53BB6"/>
    <w:rsid w:val="00C56EA4"/>
    <w:rsid w:val="00C60D42"/>
    <w:rsid w:val="00C64BD7"/>
    <w:rsid w:val="00D47DA6"/>
    <w:rsid w:val="00E1037D"/>
    <w:rsid w:val="00E64D20"/>
    <w:rsid w:val="00E76BD3"/>
    <w:rsid w:val="00EC2D3D"/>
    <w:rsid w:val="00EC57AB"/>
    <w:rsid w:val="00EF1D2A"/>
    <w:rsid w:val="00F513A6"/>
    <w:rsid w:val="00F83254"/>
    <w:rsid w:val="00FA1E63"/>
    <w:rsid w:val="00FD78C2"/>
    <w:rsid w:val="0C335F5C"/>
    <w:rsid w:val="0CA04FE3"/>
    <w:rsid w:val="10F90DA8"/>
    <w:rsid w:val="13BF7849"/>
    <w:rsid w:val="19DE06C3"/>
    <w:rsid w:val="21D52B3B"/>
    <w:rsid w:val="25A94AE0"/>
    <w:rsid w:val="2897599B"/>
    <w:rsid w:val="2A7B671C"/>
    <w:rsid w:val="2EB14EDE"/>
    <w:rsid w:val="3AB23067"/>
    <w:rsid w:val="44E02B6D"/>
    <w:rsid w:val="5E023958"/>
    <w:rsid w:val="6533459F"/>
    <w:rsid w:val="665D7505"/>
    <w:rsid w:val="6A5017FC"/>
    <w:rsid w:val="7FD10C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F83254"/>
    <w:pPr>
      <w:widowControl w:val="0"/>
      <w:jc w:val="both"/>
    </w:pPr>
    <w:rPr>
      <w:kern w:val="2"/>
      <w:sz w:val="21"/>
      <w:szCs w:val="22"/>
    </w:rPr>
  </w:style>
  <w:style w:type="paragraph" w:styleId="4">
    <w:name w:val="heading 4"/>
    <w:basedOn w:val="a"/>
    <w:next w:val="a"/>
    <w:uiPriority w:val="9"/>
    <w:semiHidden/>
    <w:unhideWhenUsed/>
    <w:qFormat/>
    <w:rsid w:val="00F83254"/>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F83254"/>
    <w:rPr>
      <w:sz w:val="18"/>
      <w:szCs w:val="18"/>
    </w:rPr>
  </w:style>
  <w:style w:type="paragraph" w:styleId="a4">
    <w:name w:val="footer"/>
    <w:basedOn w:val="a"/>
    <w:link w:val="Char0"/>
    <w:uiPriority w:val="99"/>
    <w:unhideWhenUsed/>
    <w:qFormat/>
    <w:rsid w:val="00F83254"/>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F83254"/>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qFormat/>
    <w:rsid w:val="00F83254"/>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semiHidden/>
    <w:qFormat/>
    <w:rsid w:val="00F83254"/>
    <w:rPr>
      <w:sz w:val="18"/>
      <w:szCs w:val="18"/>
    </w:rPr>
  </w:style>
  <w:style w:type="character" w:customStyle="1" w:styleId="Char0">
    <w:name w:val="页脚 Char"/>
    <w:basedOn w:val="a0"/>
    <w:link w:val="a4"/>
    <w:uiPriority w:val="99"/>
    <w:qFormat/>
    <w:rsid w:val="00F83254"/>
    <w:rPr>
      <w:sz w:val="18"/>
      <w:szCs w:val="18"/>
    </w:rPr>
  </w:style>
  <w:style w:type="character" w:customStyle="1" w:styleId="Char">
    <w:name w:val="批注框文本 Char"/>
    <w:basedOn w:val="a0"/>
    <w:link w:val="a3"/>
    <w:uiPriority w:val="99"/>
    <w:semiHidden/>
    <w:qFormat/>
    <w:rsid w:val="00F83254"/>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F:\&#24180;&#32456;\&#20154;&#2596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24180;&#32456;\&#20154;&#2596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24180;&#32456;\&#20154;&#2596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24180;&#32456;\&#20154;&#2596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24180;&#32456;\&#20154;&#2596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24180;&#32456;\&#20154;&#25968;.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K:\&#24180;&#32456;\&#20154;&#25968;.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24180;&#32456;\&#20154;&#2596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barChart>
        <c:barDir val="col"/>
        <c:grouping val="clustered"/>
        <c:ser>
          <c:idx val="0"/>
          <c:order val="0"/>
          <c:tx>
            <c:strRef>
              <c:f>'[人数.xlsx]缴存人数+缴存单位'!$A$2</c:f>
              <c:strCache>
                <c:ptCount val="1"/>
                <c:pt idx="0">
                  <c:v>缴存单位数</c:v>
                </c:pt>
              </c:strCache>
            </c:strRef>
          </c:tx>
          <c:spPr>
            <a:solidFill>
              <a:schemeClr val="accent1"/>
            </a:solidFill>
            <a:ln>
              <a:noFill/>
            </a:ln>
            <a:effectLst/>
          </c:spPr>
          <c:cat>
            <c:numRef>
              <c:f>'[人数.xlsx]缴存人数+缴存单位'!$B$1:$F$1</c:f>
              <c:numCache>
                <c:formatCode>General</c:formatCode>
                <c:ptCount val="5"/>
                <c:pt idx="0">
                  <c:v>2015</c:v>
                </c:pt>
                <c:pt idx="1">
                  <c:v>2016</c:v>
                </c:pt>
                <c:pt idx="2">
                  <c:v>2017</c:v>
                </c:pt>
                <c:pt idx="3">
                  <c:v>2018</c:v>
                </c:pt>
                <c:pt idx="4">
                  <c:v>2019</c:v>
                </c:pt>
              </c:numCache>
            </c:numRef>
          </c:cat>
          <c:val>
            <c:numRef>
              <c:f>'[人数.xlsx]缴存人数+缴存单位'!$B$2:$F$2</c:f>
              <c:numCache>
                <c:formatCode>General</c:formatCode>
                <c:ptCount val="5"/>
                <c:pt idx="0">
                  <c:v>1199</c:v>
                </c:pt>
                <c:pt idx="1">
                  <c:v>1243</c:v>
                </c:pt>
                <c:pt idx="2">
                  <c:v>1295</c:v>
                </c:pt>
                <c:pt idx="3">
                  <c:v>1362</c:v>
                </c:pt>
                <c:pt idx="4">
                  <c:v>1371</c:v>
                </c:pt>
              </c:numCache>
            </c:numRef>
          </c:val>
        </c:ser>
        <c:axId val="139960704"/>
        <c:axId val="139962240"/>
      </c:barChart>
      <c:lineChart>
        <c:grouping val="standard"/>
        <c:ser>
          <c:idx val="1"/>
          <c:order val="1"/>
          <c:tx>
            <c:strRef>
              <c:f>'[人数.xlsx]缴存人数+缴存单位'!$A$3</c:f>
              <c:strCache>
                <c:ptCount val="1"/>
                <c:pt idx="0">
                  <c:v>当年缴存金额（亿元）</c:v>
                </c:pt>
              </c:strCache>
            </c:strRef>
          </c:tx>
          <c:spPr>
            <a:ln w="28575" cap="rnd" cmpd="sng" algn="ctr">
              <a:solidFill>
                <a:schemeClr val="accent2"/>
              </a:solidFill>
              <a:prstDash val="solid"/>
              <a:round/>
            </a:ln>
            <a:effectLst/>
          </c:spPr>
          <c:marker>
            <c:symbol val="none"/>
          </c:marker>
          <c:cat>
            <c:numRef>
              <c:f>'[人数.xlsx]缴存人数+缴存单位'!$B$1:$F$1</c:f>
              <c:numCache>
                <c:formatCode>General</c:formatCode>
                <c:ptCount val="5"/>
                <c:pt idx="0">
                  <c:v>2015</c:v>
                </c:pt>
                <c:pt idx="1">
                  <c:v>2016</c:v>
                </c:pt>
                <c:pt idx="2">
                  <c:v>2017</c:v>
                </c:pt>
                <c:pt idx="3">
                  <c:v>2018</c:v>
                </c:pt>
                <c:pt idx="4">
                  <c:v>2019</c:v>
                </c:pt>
              </c:numCache>
            </c:numRef>
          </c:cat>
          <c:val>
            <c:numRef>
              <c:f>'[人数.xlsx]缴存人数+缴存单位'!$B$3:$F$3</c:f>
              <c:numCache>
                <c:formatCode>General</c:formatCode>
                <c:ptCount val="5"/>
                <c:pt idx="0">
                  <c:v>10.8</c:v>
                </c:pt>
                <c:pt idx="1">
                  <c:v>11.81</c:v>
                </c:pt>
                <c:pt idx="2">
                  <c:v>12.65</c:v>
                </c:pt>
                <c:pt idx="3">
                  <c:v>13.62</c:v>
                </c:pt>
                <c:pt idx="4">
                  <c:v>15.47</c:v>
                </c:pt>
              </c:numCache>
            </c:numRef>
          </c:val>
        </c:ser>
        <c:marker val="1"/>
        <c:axId val="139963776"/>
        <c:axId val="139977856"/>
      </c:lineChart>
      <c:catAx>
        <c:axId val="139960704"/>
        <c:scaling>
          <c:orientation val="minMax"/>
        </c:scaling>
        <c:axPos val="b"/>
        <c:numFmt formatCode="General" sourceLinked="1"/>
        <c:maj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39962240"/>
        <c:crosses val="autoZero"/>
        <c:auto val="1"/>
        <c:lblAlgn val="ctr"/>
        <c:lblOffset val="100"/>
      </c:catAx>
      <c:valAx>
        <c:axId val="139962240"/>
        <c:scaling>
          <c:orientation val="minMax"/>
        </c:scaling>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39960704"/>
        <c:crosses val="autoZero"/>
        <c:crossBetween val="between"/>
      </c:valAx>
      <c:catAx>
        <c:axId val="139963776"/>
        <c:scaling>
          <c:orientation val="minMax"/>
        </c:scaling>
        <c:delete val="1"/>
        <c:axPos val="b"/>
        <c:numFmt formatCode="General" sourceLinked="1"/>
        <c:tickLblPos val="none"/>
        <c:crossAx val="139977856"/>
        <c:crosses val="autoZero"/>
        <c:auto val="1"/>
        <c:lblAlgn val="ctr"/>
        <c:lblOffset val="100"/>
      </c:catAx>
      <c:valAx>
        <c:axId val="139977856"/>
        <c:scaling>
          <c:orientation val="minMax"/>
        </c:scaling>
        <c:axPos val="r"/>
        <c:numFmt formatCode="General" sourceLinked="1"/>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39963776"/>
        <c:crosses val="max"/>
        <c:crossBetween val="between"/>
      </c:valAx>
      <c:spPr>
        <a:noFill/>
        <a:ln>
          <a:noFill/>
        </a:ln>
        <a:effectLst/>
      </c:spPr>
    </c:plotArea>
    <c:legend>
      <c:legendPos val="b"/>
      <c:layout/>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近五年非公有制企业缴存人数占比情况图</a:t>
            </a:r>
          </a:p>
        </c:rich>
      </c:tx>
      <c:layout/>
      <c:spPr>
        <a:noFill/>
        <a:ln>
          <a:noFill/>
        </a:ln>
        <a:effectLst/>
      </c:spPr>
    </c:title>
    <c:plotArea>
      <c:layout/>
      <c:barChart>
        <c:barDir val="col"/>
        <c:grouping val="clustered"/>
        <c:ser>
          <c:idx val="0"/>
          <c:order val="0"/>
          <c:tx>
            <c:strRef>
              <c:f>[人数.xlsx]Sheet6!$C$7</c:f>
              <c:strCache>
                <c:ptCount val="1"/>
                <c:pt idx="0">
                  <c:v>非公有制企业缴存人数占比</c:v>
                </c:pt>
              </c:strCache>
            </c:strRef>
          </c:tx>
          <c:spPr>
            <a:solidFill>
              <a:schemeClr val="accent1"/>
            </a:solidFill>
            <a:ln>
              <a:noFill/>
            </a:ln>
            <a:effectLst/>
          </c:spPr>
          <c:cat>
            <c:numRef>
              <c:f>[人数.xlsx]Sheet6!$D$6:$H$6</c:f>
              <c:numCache>
                <c:formatCode>General</c:formatCode>
                <c:ptCount val="5"/>
                <c:pt idx="0">
                  <c:v>2015</c:v>
                </c:pt>
                <c:pt idx="1">
                  <c:v>2016</c:v>
                </c:pt>
                <c:pt idx="2">
                  <c:v>2017</c:v>
                </c:pt>
                <c:pt idx="3">
                  <c:v>2018</c:v>
                </c:pt>
                <c:pt idx="4">
                  <c:v>2019</c:v>
                </c:pt>
              </c:numCache>
            </c:numRef>
          </c:cat>
          <c:val>
            <c:numRef>
              <c:f>[人数.xlsx]Sheet6!$D$7:$H$7</c:f>
              <c:numCache>
                <c:formatCode>0%</c:formatCode>
                <c:ptCount val="5"/>
                <c:pt idx="0">
                  <c:v>1.0000000000000005E-2</c:v>
                </c:pt>
                <c:pt idx="1">
                  <c:v>1.0000000000000005E-2</c:v>
                </c:pt>
                <c:pt idx="2" formatCode="0.00%">
                  <c:v>4.8000000000000022E-2</c:v>
                </c:pt>
                <c:pt idx="3" formatCode="0.00%">
                  <c:v>5.3300000000000014E-2</c:v>
                </c:pt>
                <c:pt idx="4" formatCode="0.00%">
                  <c:v>0.19440000000000004</c:v>
                </c:pt>
              </c:numCache>
            </c:numRef>
          </c:val>
        </c:ser>
        <c:gapWidth val="219"/>
        <c:overlap val="-27"/>
        <c:axId val="140710656"/>
        <c:axId val="140712192"/>
      </c:barChart>
      <c:catAx>
        <c:axId val="14071065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40712192"/>
        <c:crosses val="autoZero"/>
        <c:auto val="1"/>
        <c:lblAlgn val="ctr"/>
        <c:lblOffset val="100"/>
      </c:catAx>
      <c:valAx>
        <c:axId val="140712192"/>
        <c:scaling>
          <c:orientation val="minMax"/>
        </c:scaling>
        <c:axPos val="l"/>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4071065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rot="0" vert="horz"/>
          <a:lstStyle/>
          <a:p>
            <a:pPr>
              <a:defRPr/>
            </a:pPr>
            <a:r>
              <a:rPr lang="zh-CN"/>
              <a:t>按提取业务类型分类图（金额）</a:t>
            </a:r>
          </a:p>
        </c:rich>
      </c:tx>
    </c:title>
    <c:plotArea>
      <c:layout>
        <c:manualLayout>
          <c:layoutTarget val="inner"/>
          <c:xMode val="edge"/>
          <c:yMode val="edge"/>
          <c:x val="9.1510452720476781E-2"/>
          <c:y val="0.10645929847782902"/>
          <c:w val="0.82639346531912061"/>
          <c:h val="0.79458195455548264"/>
        </c:manualLayout>
      </c:layout>
      <c:ofPieChart>
        <c:ofPieType val="bar"/>
        <c:varyColors val="1"/>
        <c:ser>
          <c:idx val="0"/>
          <c:order val="0"/>
          <c:explosion val="46"/>
          <c:dLbls>
            <c:dLbl>
              <c:idx val="1"/>
              <c:tx>
                <c:rich>
                  <a:bodyPr/>
                  <a:lstStyle/>
                  <a:p>
                    <a:r>
                      <a:rPr lang="zh-CN" altLang="en-US"/>
                      <a:t>购买、建造、翻建、
大修自住住房
</a:t>
                    </a:r>
                    <a:r>
                      <a:rPr lang="en-US" altLang="zh-CN"/>
                      <a:t>51.41%</a:t>
                    </a:r>
                  </a:p>
                </c:rich>
              </c:tx>
              <c:dLblPos val="bestFit"/>
              <c:showCatName val="1"/>
              <c:showPercent val="1"/>
            </c:dLbl>
            <c:dLbl>
              <c:idx val="2"/>
              <c:tx>
                <c:rich>
                  <a:bodyPr/>
                  <a:lstStyle/>
                  <a:p>
                    <a:r>
                      <a:rPr lang="zh-CN" altLang="en-US"/>
                      <a:t>偿还购房贷款本息
</a:t>
                    </a:r>
                    <a:r>
                      <a:rPr lang="en-US" altLang="zh-CN"/>
                      <a:t>43.72%</a:t>
                    </a:r>
                  </a:p>
                </c:rich>
              </c:tx>
              <c:dLblPos val="bestFit"/>
              <c:showCatName val="1"/>
              <c:showPercent val="1"/>
            </c:dLbl>
            <c:dLbl>
              <c:idx val="3"/>
              <c:tx>
                <c:rich>
                  <a:bodyPr/>
                  <a:lstStyle/>
                  <a:p>
                    <a:r>
                      <a:rPr lang="zh-CN" altLang="en-US"/>
                      <a:t>租赁住房
</a:t>
                    </a:r>
                    <a:r>
                      <a:rPr lang="en-US" altLang="zh-CN"/>
                      <a:t>4.87%</a:t>
                    </a:r>
                  </a:p>
                </c:rich>
              </c:tx>
              <c:dLblPos val="bestFit"/>
              <c:showCatName val="1"/>
              <c:showPercent val="1"/>
            </c:dLbl>
            <c:dLbl>
              <c:idx val="4"/>
              <c:layout>
                <c:manualLayout>
                  <c:x val="-0.24268776500814587"/>
                  <c:y val="5.7219424251718073E-3"/>
                </c:manualLayout>
              </c:layout>
              <c:tx>
                <c:rich>
                  <a:bodyPr/>
                  <a:lstStyle/>
                  <a:p>
                    <a:r>
                      <a:rPr lang="zh-CN" altLang="en-US"/>
                      <a:t>住房消费类提取</a:t>
                    </a:r>
                  </a:p>
                  <a:p>
                    <a:r>
                      <a:rPr lang="en-US" altLang="zh-CN"/>
                      <a:t>72%</a:t>
                    </a:r>
                  </a:p>
                </c:rich>
              </c:tx>
              <c:dLblPos val="bestFit"/>
              <c:showCatName val="1"/>
              <c:showPercent val="1"/>
              <c:separator>
</c:separator>
              <c:extLst>
                <c:ext xmlns:c15="http://schemas.microsoft.com/office/drawing/2012/chart" uri="{CE6537A1-D6FC-4f65-9D91-7224C49458BB}">
                  <c15:layout/>
                </c:ext>
              </c:extLst>
            </c:dLbl>
            <c:txPr>
              <a:bodyPr rot="0" vert="horz"/>
              <a:lstStyle/>
              <a:p>
                <a:pPr>
                  <a:defRPr/>
                </a:pPr>
                <a:endParaRPr lang="zh-CN"/>
              </a:p>
            </c:txPr>
            <c:dLblPos val="bestFit"/>
            <c:showCatName val="1"/>
            <c:showPercent val="1"/>
            <c:showLeaderLines val="1"/>
            <c:extLst>
              <c:ext xmlns:c15="http://schemas.microsoft.com/office/drawing/2012/chart" uri="{CE6537A1-D6FC-4f65-9D91-7224C49458BB}">
                <c15:layout/>
                <c15:showLeaderLines val="1"/>
                <c15:leaderLines>
                  <c:spPr>
                    <a:ln w="6350" cap="flat" cmpd="sng" algn="ctr">
                      <a:solidFill>
                        <a:schemeClr val="tx1"/>
                      </a:solidFill>
                      <a:prstDash val="solid"/>
                      <a:round/>
                    </a:ln>
                    <a:effectLst/>
                  </c:spPr>
                </c15:leaderLines>
              </c:ext>
            </c:extLst>
          </c:dLbls>
          <c:cat>
            <c:strRef>
              <c:f>[人数.xlsx]Sheet3!$A$18:$D$18</c:f>
              <c:strCache>
                <c:ptCount val="4"/>
                <c:pt idx="0">
                  <c:v>非住房消费类提取</c:v>
                </c:pt>
                <c:pt idx="1">
                  <c:v>购买、建造、翻建、
大修自住住房</c:v>
                </c:pt>
                <c:pt idx="2">
                  <c:v>偿还购房贷款本息</c:v>
                </c:pt>
                <c:pt idx="3">
                  <c:v>租赁住房</c:v>
                </c:pt>
              </c:strCache>
            </c:strRef>
          </c:cat>
          <c:val>
            <c:numRef>
              <c:f>[人数.xlsx]Sheet3!$A$19:$D$19</c:f>
              <c:numCache>
                <c:formatCode>General</c:formatCode>
                <c:ptCount val="4"/>
                <c:pt idx="0" formatCode="0.00_);[Red]\(0.00\)">
                  <c:v>28703.84</c:v>
                </c:pt>
                <c:pt idx="1">
                  <c:v>38401.300000000003</c:v>
                </c:pt>
                <c:pt idx="2">
                  <c:v>32657.16</c:v>
                </c:pt>
                <c:pt idx="3">
                  <c:v>3637.7</c:v>
                </c:pt>
              </c:numCache>
            </c:numRef>
          </c:val>
        </c:ser>
        <c:dLbls>
          <c:showVal val="1"/>
        </c:dLbls>
        <c:gapWidth val="100"/>
        <c:splitType val="pos"/>
        <c:splitPos val="3"/>
        <c:secondPieSize val="75"/>
        <c:serLines/>
      </c:ofPieChart>
    </c:plotArea>
    <c:legend>
      <c:legendPos val="b"/>
      <c:layout>
        <c:manualLayout>
          <c:xMode val="edge"/>
          <c:yMode val="edge"/>
          <c:x val="0.10683567224988726"/>
          <c:y val="0.88147375738616596"/>
          <c:w val="0.86238116794929798"/>
          <c:h val="0.10618700034758402"/>
        </c:manualLayout>
      </c:layout>
      <c:txPr>
        <a:bodyPr rot="0" vert="horz"/>
        <a:lstStyle/>
        <a:p>
          <a:pPr>
            <a:defRPr/>
          </a:pPr>
          <a:endParaRPr lang="zh-CN"/>
        </a:p>
      </c:txPr>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rot="0" vert="horz"/>
          <a:lstStyle/>
          <a:p>
            <a:pPr>
              <a:defRPr/>
            </a:pPr>
            <a:r>
              <a:rPr lang="zh-CN"/>
              <a:t>按提取业务类型分类图（金额）</a:t>
            </a:r>
          </a:p>
        </c:rich>
      </c:tx>
    </c:title>
    <c:plotArea>
      <c:layout/>
      <c:ofPieChart>
        <c:ofPieType val="bar"/>
        <c:varyColors val="1"/>
        <c:ser>
          <c:idx val="0"/>
          <c:order val="0"/>
          <c:dLbls>
            <c:dLbl>
              <c:idx val="1"/>
              <c:layout>
                <c:manualLayout>
                  <c:x val="-0.12092125984252006"/>
                  <c:y val="-6.7466462525517884E-2"/>
                </c:manualLayout>
              </c:layout>
              <c:tx>
                <c:rich>
                  <a:bodyPr/>
                  <a:lstStyle/>
                  <a:p>
                    <a:r>
                      <a:rPr lang="zh-CN" altLang="en-US"/>
                      <a:t>离休、退休
</a:t>
                    </a:r>
                    <a:r>
                      <a:rPr lang="en-US" altLang="zh-CN"/>
                      <a:t>86.78%</a:t>
                    </a:r>
                    <a:endParaRPr lang="zh-CN" altLang="en-US"/>
                  </a:p>
                </c:rich>
              </c:tx>
              <c:dLblPos val="bestFit"/>
              <c:showCatName val="1"/>
              <c:showPercent val="1"/>
              <c:separator>
</c:separator>
              <c:extLst>
                <c:ext xmlns:c15="http://schemas.microsoft.com/office/drawing/2012/chart" uri="{CE6537A1-D6FC-4f65-9D91-7224C49458BB}">
                  <c15:layout/>
                </c:ext>
              </c:extLst>
            </c:dLbl>
            <c:dLbl>
              <c:idx val="2"/>
              <c:layout>
                <c:manualLayout>
                  <c:x val="-6.1931321084864391E-4"/>
                  <c:y val="-0.10397528433945757"/>
                </c:manualLayout>
              </c:layout>
              <c:tx>
                <c:rich>
                  <a:bodyPr/>
                  <a:lstStyle/>
                  <a:p>
                    <a:r>
                      <a:rPr lang="zh-CN" altLang="en-US"/>
                      <a:t>终止劳动关系
</a:t>
                    </a:r>
                    <a:r>
                      <a:rPr lang="en-US" altLang="zh-CN"/>
                      <a:t>7.14%</a:t>
                    </a:r>
                    <a:endParaRPr lang="zh-CN" altLang="en-US"/>
                  </a:p>
                </c:rich>
              </c:tx>
              <c:dLblPos val="bestFit"/>
              <c:showCatName val="1"/>
              <c:showPercent val="1"/>
            </c:dLbl>
            <c:dLbl>
              <c:idx val="3"/>
              <c:layout>
                <c:manualLayout>
                  <c:x val="-9.2235345581802956E-3"/>
                  <c:y val="-5.1680519101778948E-3"/>
                </c:manualLayout>
              </c:layout>
              <c:tx>
                <c:rich>
                  <a:bodyPr/>
                  <a:lstStyle/>
                  <a:p>
                    <a:r>
                      <a:rPr lang="zh-CN" altLang="en-US"/>
                      <a:t>出境定居
</a:t>
                    </a:r>
                    <a:r>
                      <a:rPr lang="en-US" altLang="zh-CN"/>
                      <a:t>0.11%</a:t>
                    </a:r>
                  </a:p>
                </c:rich>
              </c:tx>
              <c:dLblPos val="bestFit"/>
              <c:showCatName val="1"/>
              <c:showPercent val="1"/>
            </c:dLbl>
            <c:dLbl>
              <c:idx val="4"/>
              <c:layout>
                <c:manualLayout>
                  <c:x val="-5.750743657042888E-2"/>
                  <c:y val="7.2628681831438044E-2"/>
                </c:manualLayout>
              </c:layout>
              <c:tx>
                <c:rich>
                  <a:bodyPr/>
                  <a:lstStyle/>
                  <a:p>
                    <a:r>
                      <a:rPr lang="zh-CN" altLang="en-US"/>
                      <a:t>其他
</a:t>
                    </a:r>
                    <a:r>
                      <a:rPr lang="en-US" altLang="zh-CN"/>
                      <a:t>5.97%</a:t>
                    </a:r>
                  </a:p>
                </c:rich>
              </c:tx>
              <c:dLblPos val="bestFit"/>
              <c:showCatName val="1"/>
              <c:showPercent val="1"/>
            </c:dLbl>
            <c:dLbl>
              <c:idx val="5"/>
              <c:layout>
                <c:manualLayout>
                  <c:x val="-0.15464488439706597"/>
                  <c:y val="7.683352735739256E-3"/>
                </c:manualLayout>
              </c:layout>
              <c:tx>
                <c:rich>
                  <a:bodyPr/>
                  <a:lstStyle/>
                  <a:p>
                    <a:r>
                      <a:rPr lang="zh-CN" altLang="en-US"/>
                      <a:t>非住房消费类提取</a:t>
                    </a:r>
                  </a:p>
                  <a:p>
                    <a:r>
                      <a:rPr lang="en-US" altLang="zh-CN"/>
                      <a:t>28%</a:t>
                    </a:r>
                  </a:p>
                </c:rich>
              </c:tx>
              <c:dLblPos val="bestFit"/>
              <c:showCatName val="1"/>
              <c:showPercent val="1"/>
              <c:separator>
</c:separator>
              <c:extLst>
                <c:ext xmlns:c15="http://schemas.microsoft.com/office/drawing/2012/chart" uri="{CE6537A1-D6FC-4f65-9D91-7224C49458BB}">
                  <c15:layout>
                    <c:manualLayout>
                      <c:w val="0.226221791499377"/>
                      <c:h val="0.164842840512224"/>
                    </c:manualLayout>
                  </c15:layout>
                </c:ext>
              </c:extLst>
            </c:dLbl>
            <c:txPr>
              <a:bodyPr rot="0" vert="horz"/>
              <a:lstStyle/>
              <a:p>
                <a:pPr>
                  <a:defRPr/>
                </a:pPr>
                <a:endParaRPr lang="zh-CN"/>
              </a:p>
            </c:txPr>
            <c:dLblPos val="bestFit"/>
            <c:showCatName val="1"/>
            <c:showPercent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Sheet3!$A$25:$E$25</c:f>
              <c:strCache>
                <c:ptCount val="5"/>
                <c:pt idx="0">
                  <c:v>住房消费类提取</c:v>
                </c:pt>
                <c:pt idx="1">
                  <c:v>离休、退休</c:v>
                </c:pt>
                <c:pt idx="2">
                  <c:v>终止劳动关系</c:v>
                </c:pt>
                <c:pt idx="3">
                  <c:v>出境定居</c:v>
                </c:pt>
                <c:pt idx="4">
                  <c:v>其他</c:v>
                </c:pt>
              </c:strCache>
            </c:strRef>
          </c:cat>
          <c:val>
            <c:numRef>
              <c:f>Sheet3!$A$26:$E$26</c:f>
              <c:numCache>
                <c:formatCode>0.00_);[Red]\(0.00\)</c:formatCode>
                <c:ptCount val="5"/>
                <c:pt idx="0" formatCode="General">
                  <c:v>65578.8</c:v>
                </c:pt>
                <c:pt idx="1">
                  <c:v>14455.12</c:v>
                </c:pt>
                <c:pt idx="2">
                  <c:v>1829.23</c:v>
                </c:pt>
                <c:pt idx="3">
                  <c:v>1042.6399999999999</c:v>
                </c:pt>
                <c:pt idx="4">
                  <c:v>1094.22</c:v>
                </c:pt>
              </c:numCache>
            </c:numRef>
          </c:val>
        </c:ser>
        <c:dLbls>
          <c:showCatName val="1"/>
          <c:showPercent val="1"/>
        </c:dLbls>
        <c:gapWidth val="100"/>
        <c:splitType val="pos"/>
        <c:splitPos val="4"/>
        <c:secondPieSize val="75"/>
        <c:serLines/>
      </c:ofPieChart>
    </c:plotArea>
    <c:legend>
      <c:legendPos val="b"/>
      <c:txPr>
        <a:bodyPr rot="0" vert="horz"/>
        <a:lstStyle/>
        <a:p>
          <a:pPr>
            <a:defRPr/>
          </a:pPr>
          <a:endParaRPr lang="zh-CN"/>
        </a:p>
      </c:txPr>
    </c:legend>
    <c:plotVisOnly val="1"/>
    <c:dispBlanksAs val="zero"/>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近年个贷率情况图</a:t>
            </a:r>
          </a:p>
        </c:rich>
      </c:tx>
      <c:spPr>
        <a:noFill/>
        <a:ln>
          <a:noFill/>
        </a:ln>
        <a:effectLst/>
      </c:spPr>
    </c:title>
    <c:plotArea>
      <c:layout/>
      <c:lineChart>
        <c:grouping val="standard"/>
        <c:ser>
          <c:idx val="0"/>
          <c:order val="0"/>
          <c:tx>
            <c:strRef>
              <c:f>[人数.xlsx]Sheet10!$A$24</c:f>
              <c:strCache>
                <c:ptCount val="1"/>
                <c:pt idx="0">
                  <c:v>个贷率</c:v>
                </c:pt>
              </c:strCache>
            </c:strRef>
          </c:tx>
          <c:spPr>
            <a:effectLst/>
          </c:spPr>
          <c:dLbls>
            <c:dLbl>
              <c:idx val="0"/>
              <c:showVal val="1"/>
            </c:dLbl>
            <c:dLbl>
              <c:idx val="1"/>
              <c:showVal val="1"/>
            </c:dLbl>
            <c:dLbl>
              <c:idx val="2"/>
              <c:showVal val="1"/>
            </c:dLbl>
            <c:dLbl>
              <c:idx val="3"/>
              <c:showVal val="1"/>
            </c:dLbl>
            <c:dLbl>
              <c:idx val="4"/>
              <c:showVal val="1"/>
            </c:dLbl>
            <c:delete val="1"/>
          </c:dLbls>
          <c:cat>
            <c:numRef>
              <c:f>[人数.xlsx]Sheet10!$B$23:$F$23</c:f>
              <c:numCache>
                <c:formatCode>General</c:formatCode>
                <c:ptCount val="5"/>
                <c:pt idx="0">
                  <c:v>2015</c:v>
                </c:pt>
                <c:pt idx="1">
                  <c:v>2016</c:v>
                </c:pt>
                <c:pt idx="2">
                  <c:v>2017</c:v>
                </c:pt>
                <c:pt idx="3">
                  <c:v>2018</c:v>
                </c:pt>
                <c:pt idx="4">
                  <c:v>2019</c:v>
                </c:pt>
              </c:numCache>
            </c:numRef>
          </c:cat>
          <c:val>
            <c:numRef>
              <c:f>[人数.xlsx]Sheet10!$B$24:$F$24</c:f>
              <c:numCache>
                <c:formatCode>0.00%</c:formatCode>
                <c:ptCount val="5"/>
                <c:pt idx="0">
                  <c:v>0.73730000000000062</c:v>
                </c:pt>
                <c:pt idx="1">
                  <c:v>0.88100000000000001</c:v>
                </c:pt>
                <c:pt idx="2">
                  <c:v>0.94910000000000005</c:v>
                </c:pt>
                <c:pt idx="3">
                  <c:v>0.95940000000000003</c:v>
                </c:pt>
                <c:pt idx="4">
                  <c:v>0.8831</c:v>
                </c:pt>
              </c:numCache>
            </c:numRef>
          </c:val>
        </c:ser>
        <c:marker val="1"/>
        <c:axId val="68279680"/>
        <c:axId val="140907648"/>
      </c:lineChart>
      <c:catAx>
        <c:axId val="6827968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40907648"/>
        <c:crosses val="autoZero"/>
        <c:auto val="1"/>
        <c:lblAlgn val="ctr"/>
        <c:lblOffset val="100"/>
      </c:catAx>
      <c:valAx>
        <c:axId val="140907648"/>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8279680"/>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tx>
        <c:rich>
          <a:bodyPr rot="0" vert="horz"/>
          <a:lstStyle/>
          <a:p>
            <a:pPr>
              <a:defRPr/>
            </a:pPr>
            <a:r>
              <a:rPr lang="en-US"/>
              <a:t>2019</a:t>
            </a:r>
            <a:r>
              <a:t>年放贷笔数按主借款人收入分类图</a:t>
            </a:r>
            <a:endParaRPr lang="en-US"/>
          </a:p>
        </c:rich>
      </c:tx>
    </c:title>
    <c:plotArea>
      <c:layout/>
      <c:pieChart>
        <c:varyColors val="1"/>
        <c:ser>
          <c:idx val="0"/>
          <c:order val="0"/>
          <c:dLbls>
            <c:txPr>
              <a:bodyPr rot="0" vert="horz"/>
              <a:lstStyle/>
              <a:p>
                <a:pPr>
                  <a:defRPr/>
                </a:pPr>
                <a:endParaRPr lang="zh-CN"/>
              </a:p>
            </c:txPr>
            <c:dLblPos val="bestFit"/>
            <c:showPercent val="1"/>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[人数.xlsx]Sheet4!$A$26:$A$28</c:f>
              <c:strCache>
                <c:ptCount val="3"/>
                <c:pt idx="0">
                  <c:v>低收入</c:v>
                </c:pt>
                <c:pt idx="1">
                  <c:v>中收入</c:v>
                </c:pt>
                <c:pt idx="2">
                  <c:v>高收入</c:v>
                </c:pt>
              </c:strCache>
            </c:strRef>
          </c:cat>
          <c:val>
            <c:numRef>
              <c:f>[人数.xlsx]Sheet4!$B$26:$B$28</c:f>
              <c:numCache>
                <c:formatCode>#,##0</c:formatCode>
                <c:ptCount val="3"/>
                <c:pt idx="0">
                  <c:v>1351</c:v>
                </c:pt>
                <c:pt idx="1">
                  <c:v>1247</c:v>
                </c:pt>
                <c:pt idx="2">
                  <c:v>27</c:v>
                </c:pt>
              </c:numCache>
            </c:numRef>
          </c:val>
        </c:ser>
        <c:dLbls>
          <c:showVal val="1"/>
        </c:dLbls>
        <c:firstSliceAng val="0"/>
      </c:pieChart>
    </c:plotArea>
    <c:legend>
      <c:legendPos val="b"/>
      <c:txPr>
        <a:bodyPr rot="0" vert="horz"/>
        <a:lstStyle/>
        <a:p>
          <a:pPr>
            <a:defRPr/>
          </a:pPr>
          <a:endParaRPr lang="zh-CN"/>
        </a:p>
      </c:txPr>
    </c:legend>
    <c:plotVisOnly val="1"/>
    <c:dispBlanksAs val="zero"/>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2015</a:t>
            </a:r>
            <a:r>
              <a:rPr altLang="en-US"/>
              <a:t>年至</a:t>
            </a:r>
            <a:r>
              <a:rPr lang="en-US" altLang="zh-CN"/>
              <a:t>2019</a:t>
            </a:r>
            <a:r>
              <a:rPr altLang="en-US"/>
              <a:t>年贷款</a:t>
            </a:r>
            <a:r>
              <a:t>逾期率情况图</a:t>
            </a:r>
          </a:p>
        </c:rich>
      </c:tx>
      <c:spPr>
        <a:noFill/>
        <a:ln>
          <a:noFill/>
        </a:ln>
        <a:effectLst/>
      </c:spPr>
    </c:title>
    <c:plotArea>
      <c:layout/>
      <c:lineChart>
        <c:grouping val="standard"/>
        <c:ser>
          <c:idx val="0"/>
          <c:order val="0"/>
          <c:tx>
            <c:strRef>
              <c:f>Sheet9!$A$24</c:f>
              <c:strCache>
                <c:ptCount val="1"/>
                <c:pt idx="0">
                  <c:v>逾期率</c:v>
                </c:pt>
              </c:strCache>
            </c:strRef>
          </c:tx>
          <c:spPr>
            <a:effectLst/>
          </c:spPr>
          <c:dLbls>
            <c:showVal val="1"/>
          </c:dLbls>
          <c:cat>
            <c:numRef>
              <c:f>Sheet9!$B$23:$F$23</c:f>
              <c:numCache>
                <c:formatCode>General</c:formatCode>
                <c:ptCount val="5"/>
                <c:pt idx="0">
                  <c:v>2015</c:v>
                </c:pt>
                <c:pt idx="1">
                  <c:v>2016</c:v>
                </c:pt>
                <c:pt idx="2">
                  <c:v>2017</c:v>
                </c:pt>
                <c:pt idx="3">
                  <c:v>2018</c:v>
                </c:pt>
                <c:pt idx="4">
                  <c:v>2019</c:v>
                </c:pt>
              </c:numCache>
            </c:numRef>
          </c:cat>
          <c:val>
            <c:numRef>
              <c:f>Sheet9!$B$24:$F$24</c:f>
              <c:numCache>
                <c:formatCode>General</c:formatCode>
                <c:ptCount val="5"/>
                <c:pt idx="0">
                  <c:v>0.9</c:v>
                </c:pt>
                <c:pt idx="1">
                  <c:v>0.70000000000000062</c:v>
                </c:pt>
                <c:pt idx="2">
                  <c:v>0.30000000000000032</c:v>
                </c:pt>
                <c:pt idx="3">
                  <c:v>0.1</c:v>
                </c:pt>
                <c:pt idx="4">
                  <c:v>0.1</c:v>
                </c:pt>
              </c:numCache>
            </c:numRef>
          </c:val>
        </c:ser>
        <c:marker val="1"/>
        <c:axId val="141048832"/>
        <c:axId val="141058816"/>
      </c:lineChart>
      <c:catAx>
        <c:axId val="141048832"/>
        <c:scaling>
          <c:orientation val="minMax"/>
        </c:scaling>
        <c:axPos val="b"/>
        <c:numFmt formatCode="General" sourceLinked="1"/>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41058816"/>
        <c:crosses val="autoZero"/>
        <c:auto val="1"/>
        <c:lblAlgn val="ctr"/>
        <c:lblOffset val="100"/>
      </c:catAx>
      <c:valAx>
        <c:axId val="141058816"/>
        <c:scaling>
          <c:orientation val="minMax"/>
        </c:scaling>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4104883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zh-CN"/>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2016-2019</a:t>
            </a:r>
            <a:r>
              <a:rPr altLang="en-US"/>
              <a:t>年白银市公积金微信公众号关注人数</a:t>
            </a:r>
            <a:endParaRPr lang="en-US" altLang="zh-CN"/>
          </a:p>
        </c:rich>
      </c:tx>
      <c:layout>
        <c:manualLayout>
          <c:xMode val="edge"/>
          <c:yMode val="edge"/>
          <c:x val="0.14777777777777801"/>
          <c:y val="5.9027777777777804E-2"/>
        </c:manualLayout>
      </c:layout>
      <c:spPr>
        <a:noFill/>
        <a:ln>
          <a:noFill/>
        </a:ln>
        <a:effectLst/>
      </c:spPr>
    </c:title>
    <c:plotArea>
      <c:layout/>
      <c:lineChart>
        <c:grouping val="standard"/>
        <c:ser>
          <c:idx val="0"/>
          <c:order val="0"/>
          <c:spPr>
            <a:ln w="28575" cap="rnd">
              <a:solidFill>
                <a:schemeClr val="accent1"/>
              </a:solidFill>
              <a:round/>
            </a:ln>
            <a:effectLst/>
          </c:spPr>
          <c:marker>
            <c:symbol val="none"/>
          </c:marker>
          <c:cat>
            <c:strRef>
              <c:f>[人数.xlsx]Sheet4!$A$77:$A$80</c:f>
              <c:strCache>
                <c:ptCount val="4"/>
                <c:pt idx="0">
                  <c:v>2016年7月12日起</c:v>
                </c:pt>
                <c:pt idx="1">
                  <c:v>2017年</c:v>
                </c:pt>
                <c:pt idx="2">
                  <c:v>2018年</c:v>
                </c:pt>
                <c:pt idx="3">
                  <c:v>2019年</c:v>
                </c:pt>
              </c:strCache>
            </c:strRef>
          </c:cat>
          <c:val>
            <c:numRef>
              <c:f>[人数.xlsx]Sheet4!$B$77:$B$80</c:f>
              <c:numCache>
                <c:formatCode>General</c:formatCode>
                <c:ptCount val="4"/>
                <c:pt idx="0">
                  <c:v>534</c:v>
                </c:pt>
                <c:pt idx="1">
                  <c:v>1134</c:v>
                </c:pt>
                <c:pt idx="2">
                  <c:v>13543</c:v>
                </c:pt>
                <c:pt idx="3">
                  <c:v>55297</c:v>
                </c:pt>
              </c:numCache>
            </c:numRef>
          </c:val>
        </c:ser>
        <c:marker val="1"/>
        <c:axId val="141090816"/>
        <c:axId val="141092352"/>
      </c:lineChart>
      <c:catAx>
        <c:axId val="141090816"/>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41092352"/>
        <c:crosses val="autoZero"/>
        <c:auto val="1"/>
        <c:lblAlgn val="ctr"/>
        <c:lblOffset val="100"/>
      </c:catAx>
      <c:valAx>
        <c:axId val="141092352"/>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41090816"/>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by-003</dc:creator>
  <cp:lastModifiedBy>黄兆惠</cp:lastModifiedBy>
  <cp:revision>2</cp:revision>
  <cp:lastPrinted>2020-03-11T00:43:00Z</cp:lastPrinted>
  <dcterms:created xsi:type="dcterms:W3CDTF">2020-07-20T02:26:00Z</dcterms:created>
  <dcterms:modified xsi:type="dcterms:W3CDTF">2020-07-20T02:26:00Z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